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77DBCA80" w:rsidR="00E90E49" w:rsidRPr="00F53427" w:rsidRDefault="00E90E49" w:rsidP="00E35559">
      <w:pPr>
        <w:pStyle w:val="3GPPHeader"/>
        <w:spacing w:after="60"/>
        <w:rPr>
          <w:sz w:val="32"/>
          <w:szCs w:val="32"/>
        </w:rPr>
      </w:pPr>
      <w:r w:rsidRPr="00F53427">
        <w:t>3GPP TSG-RAN WG</w:t>
      </w:r>
      <w:r w:rsidR="00F53427" w:rsidRPr="00F53427">
        <w:t>1</w:t>
      </w:r>
      <w:r w:rsidRPr="00F53427">
        <w:t>#</w:t>
      </w:r>
      <w:r w:rsidR="00F53427" w:rsidRPr="00F53427">
        <w:t>93</w:t>
      </w:r>
      <w:r w:rsidR="00F53427" w:rsidRPr="00F53427">
        <w:tab/>
      </w:r>
      <w:r w:rsidR="00091557" w:rsidRPr="00F53427">
        <w:rPr>
          <w:sz w:val="32"/>
          <w:szCs w:val="32"/>
        </w:rPr>
        <w:t>R</w:t>
      </w:r>
      <w:r w:rsidR="00F53427" w:rsidRPr="00F53427">
        <w:rPr>
          <w:sz w:val="32"/>
          <w:szCs w:val="32"/>
        </w:rPr>
        <w:t>1</w:t>
      </w:r>
      <w:r w:rsidR="00091557" w:rsidRPr="00F53427">
        <w:rPr>
          <w:sz w:val="32"/>
          <w:szCs w:val="32"/>
        </w:rPr>
        <w:t>-</w:t>
      </w:r>
      <w:r w:rsidR="005F3025" w:rsidRPr="00F53427">
        <w:rPr>
          <w:sz w:val="32"/>
          <w:szCs w:val="32"/>
        </w:rPr>
        <w:t>1</w:t>
      </w:r>
      <w:r w:rsidR="00F53427" w:rsidRPr="00F53427">
        <w:rPr>
          <w:sz w:val="32"/>
          <w:szCs w:val="32"/>
        </w:rPr>
        <w:t>807</w:t>
      </w:r>
      <w:r w:rsidR="00E364E5">
        <w:rPr>
          <w:sz w:val="32"/>
          <w:szCs w:val="32"/>
        </w:rPr>
        <w:t>77</w:t>
      </w:r>
      <w:r w:rsidR="00F53427" w:rsidRPr="00F53427">
        <w:rPr>
          <w:sz w:val="32"/>
          <w:szCs w:val="32"/>
        </w:rPr>
        <w:t>6</w:t>
      </w:r>
      <w:bookmarkStart w:id="0" w:name="_GoBack"/>
      <w:bookmarkEnd w:id="0"/>
    </w:p>
    <w:p w14:paraId="3C115939" w14:textId="67EC3EF0" w:rsidR="00E90E49" w:rsidRPr="00CE0424" w:rsidRDefault="00F53427" w:rsidP="00311702">
      <w:pPr>
        <w:pStyle w:val="3GPPHeader"/>
      </w:pPr>
      <w:r w:rsidRPr="00F53427">
        <w:t>Busan</w:t>
      </w:r>
      <w:r w:rsidR="0027144F" w:rsidRPr="00F53427">
        <w:t xml:space="preserve">, </w:t>
      </w:r>
      <w:r w:rsidRPr="00F53427">
        <w:t>Korea</w:t>
      </w:r>
      <w:r w:rsidR="0027144F" w:rsidRPr="00F53427">
        <w:t xml:space="preserve">, </w:t>
      </w:r>
      <w:r w:rsidRPr="00F53427">
        <w:t>21</w:t>
      </w:r>
      <w:r w:rsidRPr="00F53427">
        <w:rPr>
          <w:vertAlign w:val="superscript"/>
        </w:rPr>
        <w:t>st</w:t>
      </w:r>
      <w:r w:rsidRPr="00F53427">
        <w:t xml:space="preserve"> </w:t>
      </w:r>
      <w:r w:rsidR="0027144F" w:rsidRPr="00F53427">
        <w:t xml:space="preserve">– </w:t>
      </w:r>
      <w:r w:rsidRPr="00F53427">
        <w:t>25</w:t>
      </w:r>
      <w:r w:rsidRPr="00F53427">
        <w:rPr>
          <w:vertAlign w:val="superscript"/>
        </w:rPr>
        <w:t>th</w:t>
      </w:r>
      <w:r w:rsidRPr="00F53427">
        <w:t xml:space="preserve"> May </w:t>
      </w:r>
      <w:r w:rsidR="0027144F" w:rsidRPr="00F53427">
        <w:t>20</w:t>
      </w:r>
      <w:r w:rsidR="005F3025" w:rsidRPr="00F53427">
        <w:t>1</w:t>
      </w:r>
      <w:r w:rsidRPr="00F53427">
        <w:t>8</w:t>
      </w:r>
    </w:p>
    <w:p w14:paraId="0098B1E8" w14:textId="77777777" w:rsidR="00E90E49" w:rsidRPr="00CE0424" w:rsidRDefault="00E90E49" w:rsidP="00357380">
      <w:pPr>
        <w:pStyle w:val="3GPPHeader"/>
      </w:pPr>
    </w:p>
    <w:p w14:paraId="7CEDCEB8" w14:textId="75505014" w:rsidR="00E90E49" w:rsidRPr="00E971A2" w:rsidRDefault="00E90E49" w:rsidP="00311702">
      <w:pPr>
        <w:pStyle w:val="3GPPHeader"/>
        <w:rPr>
          <w:sz w:val="22"/>
          <w:szCs w:val="22"/>
          <w:lang w:val="en-US"/>
        </w:rPr>
      </w:pPr>
      <w:r w:rsidRPr="00E971A2">
        <w:rPr>
          <w:sz w:val="22"/>
          <w:szCs w:val="22"/>
          <w:lang w:val="en-US"/>
        </w:rPr>
        <w:t>Agenda Item:</w:t>
      </w:r>
      <w:r w:rsidRPr="00E971A2">
        <w:rPr>
          <w:sz w:val="22"/>
          <w:szCs w:val="22"/>
          <w:lang w:val="en-US"/>
        </w:rPr>
        <w:tab/>
      </w:r>
      <w:r w:rsidR="00F53427" w:rsidRPr="00E971A2">
        <w:rPr>
          <w:sz w:val="22"/>
          <w:szCs w:val="22"/>
          <w:lang w:val="en-US"/>
        </w:rPr>
        <w:t>7.1.1.</w:t>
      </w:r>
      <w:r w:rsidR="00393B6A" w:rsidRPr="00E971A2">
        <w:rPr>
          <w:sz w:val="22"/>
          <w:szCs w:val="22"/>
          <w:lang w:val="en-US"/>
        </w:rPr>
        <w:t>2.</w:t>
      </w:r>
      <w:r w:rsidR="00F53427" w:rsidRPr="00E971A2">
        <w:rPr>
          <w:sz w:val="22"/>
          <w:szCs w:val="22"/>
          <w:lang w:val="en-US"/>
        </w:rPr>
        <w:t>1</w:t>
      </w:r>
    </w:p>
    <w:p w14:paraId="4A2066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1A5244" w14:textId="01702328" w:rsidR="00E90E49" w:rsidRPr="00CE0424" w:rsidRDefault="003D3C45" w:rsidP="00311702">
      <w:pPr>
        <w:pStyle w:val="3GPPHeader"/>
        <w:rPr>
          <w:sz w:val="22"/>
          <w:szCs w:val="22"/>
        </w:rPr>
      </w:pPr>
      <w:r>
        <w:rPr>
          <w:sz w:val="22"/>
          <w:szCs w:val="22"/>
        </w:rPr>
        <w:t>Title:</w:t>
      </w:r>
      <w:r w:rsidR="00E90E49" w:rsidRPr="00CE0424">
        <w:rPr>
          <w:sz w:val="22"/>
          <w:szCs w:val="22"/>
        </w:rPr>
        <w:tab/>
      </w:r>
      <w:r w:rsidR="00695CB6" w:rsidRPr="00695CB6">
        <w:rPr>
          <w:sz w:val="22"/>
          <w:szCs w:val="22"/>
        </w:rPr>
        <w:t>Summary of 7.1.1.2.1 NR-PBCH</w:t>
      </w:r>
      <w:r w:rsidR="00F53427" w:rsidRPr="00F53427">
        <w:rPr>
          <w:sz w:val="22"/>
          <w:szCs w:val="22"/>
        </w:rPr>
        <w:t xml:space="preserve"> </w:t>
      </w:r>
    </w:p>
    <w:p w14:paraId="04D2DA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53427">
        <w:rPr>
          <w:sz w:val="22"/>
          <w:szCs w:val="22"/>
        </w:rPr>
        <w:t>Discussion, Decision</w:t>
      </w:r>
    </w:p>
    <w:p w14:paraId="280E0036" w14:textId="77777777" w:rsidR="00E90E49" w:rsidRPr="00CE0424" w:rsidRDefault="00E90E49" w:rsidP="00E90E49"/>
    <w:p w14:paraId="3C2AE698" w14:textId="34C90257" w:rsidR="00E90E49" w:rsidRPr="00CE0424" w:rsidRDefault="00E90E49" w:rsidP="00CE0424">
      <w:pPr>
        <w:pStyle w:val="Heading1"/>
      </w:pPr>
      <w:r w:rsidRPr="00CE0424">
        <w:t>Introduction</w:t>
      </w:r>
      <w:r w:rsidR="00A26A6D">
        <w:t xml:space="preserve"> </w:t>
      </w:r>
    </w:p>
    <w:p w14:paraId="54DD19ED" w14:textId="6D85E789" w:rsidR="00477768" w:rsidRPr="00CE0424" w:rsidRDefault="00F53427" w:rsidP="00CE0424">
      <w:pPr>
        <w:pStyle w:val="BodyText"/>
      </w:pPr>
      <w:r w:rsidRPr="00F53427">
        <w:t>This is the summary for 7.1.1.</w:t>
      </w:r>
      <w:r w:rsidR="00695CB6">
        <w:t>2.</w:t>
      </w:r>
      <w:r w:rsidRPr="00F53427">
        <w:t xml:space="preserve">1 on the remaining details on </w:t>
      </w:r>
      <w:r w:rsidR="00695CB6">
        <w:t>NR-PBCH</w:t>
      </w:r>
      <w:r w:rsidRPr="00F53427">
        <w:t xml:space="preserve"> signals based on the views expressed by companies in the contributions listed in the appendix and providing proposals for agreement.</w:t>
      </w:r>
    </w:p>
    <w:p w14:paraId="619BF705" w14:textId="299E4775" w:rsidR="002D62C1" w:rsidRDefault="002D62C1" w:rsidP="00CE0424">
      <w:pPr>
        <w:pStyle w:val="Heading1"/>
      </w:pPr>
      <w:r>
        <w:t>Time alignment in TDD</w:t>
      </w:r>
    </w:p>
    <w:p w14:paraId="6EE80428" w14:textId="005FE917" w:rsidR="002D62C1" w:rsidRDefault="002D62C1" w:rsidP="002D62C1">
      <w:r>
        <w:t>Huawei proposed that to avoid reading of PBCH</w:t>
      </w:r>
      <w:r w:rsidRPr="002D62C1">
        <w:t>, UE assumes that the SFN is aligned among cells of the same carrier frequency.</w:t>
      </w:r>
    </w:p>
    <w:p w14:paraId="7A7DCECD" w14:textId="53357F2A" w:rsidR="00677A47" w:rsidRDefault="00677A47" w:rsidP="00677A47">
      <w:r>
        <w:t xml:space="preserve">ZTE proposed that the UE can derive the SS block index of </w:t>
      </w:r>
      <w:proofErr w:type="spellStart"/>
      <w:r>
        <w:t>neighbor</w:t>
      </w:r>
      <w:proofErr w:type="spellEnd"/>
      <w:r>
        <w:t xml:space="preserve"> cell according to the serving cell timing </w:t>
      </w:r>
      <w:proofErr w:type="gramStart"/>
      <w:r>
        <w:t>as long as</w:t>
      </w:r>
      <w:proofErr w:type="gramEnd"/>
      <w:r>
        <w:t xml:space="preserve"> the timing offset between the two cells is smaller than 2 OFDM symbols. RAN4 should set requirements when </w:t>
      </w:r>
      <w:proofErr w:type="spellStart"/>
      <w:r>
        <w:t>useServingCellTimingForSync</w:t>
      </w:r>
      <w:proofErr w:type="spellEnd"/>
      <w:r>
        <w:t xml:space="preserve"> is set as true. </w:t>
      </w:r>
      <w:r>
        <w:rPr>
          <w:lang w:val="en-US"/>
        </w:rPr>
        <w:t xml:space="preserve">The </w:t>
      </w:r>
      <w:r>
        <w:t xml:space="preserve">setting of </w:t>
      </w:r>
      <w:proofErr w:type="spellStart"/>
      <w:r>
        <w:t>useServingCellTimingForSync</w:t>
      </w:r>
      <w:proofErr w:type="spellEnd"/>
      <w:r>
        <w:t xml:space="preserve"> decide if the UE </w:t>
      </w:r>
      <w:proofErr w:type="gramStart"/>
      <w:r>
        <w:t>has to</w:t>
      </w:r>
      <w:proofErr w:type="gramEnd"/>
      <w:r>
        <w:t xml:space="preserve"> read the PBCH to derive the SS/PBCH index.</w:t>
      </w:r>
    </w:p>
    <w:p w14:paraId="3CFB5653" w14:textId="77777777" w:rsidR="00BF44FE" w:rsidRDefault="007B4BCC" w:rsidP="00BF44FE">
      <w:r>
        <w:t xml:space="preserve">LG Electronics proposed that if CSI-RS resource for target cell (or </w:t>
      </w:r>
      <w:proofErr w:type="spellStart"/>
      <w:r>
        <w:t>neighbor</w:t>
      </w:r>
      <w:proofErr w:type="spellEnd"/>
      <w:r>
        <w:t xml:space="preserve"> cell) is configured, UE acquires half frame information by detection of CSI-RS sequence. Otherwise, the UE assumes that </w:t>
      </w:r>
      <w:proofErr w:type="spellStart"/>
      <w:r>
        <w:t>gNBs</w:t>
      </w:r>
      <w:proofErr w:type="spellEnd"/>
      <w:r>
        <w:t xml:space="preserve"> are tightly synchronized.</w:t>
      </w:r>
    </w:p>
    <w:p w14:paraId="0F20063F" w14:textId="2C05129F" w:rsidR="00BF44FE" w:rsidRDefault="00BF44FE" w:rsidP="00BF44FE">
      <w:r>
        <w:t>OPPO proposed that in a TDD band, the UE always assumes SFN alignment among cells on the same carrier frequency. In an FDD band, SFN alignment among cells on the same carrier frequency is not assumed by UE or inform to the UE whether SFN is aligned or not.</w:t>
      </w:r>
    </w:p>
    <w:p w14:paraId="59A81E80" w14:textId="7FA473CB" w:rsidR="00C7664B" w:rsidRDefault="00C7664B" w:rsidP="00BF44FE">
      <w:proofErr w:type="spellStart"/>
      <w:r>
        <w:t>InterDigital</w:t>
      </w:r>
      <w:proofErr w:type="spellEnd"/>
      <w:r>
        <w:t xml:space="preserve"> </w:t>
      </w:r>
      <w:r w:rsidRPr="00C7664B">
        <w:t>proposed that the UE always assumes SFN alignment among cells on the same carrier frequency in TDD bands</w:t>
      </w:r>
      <w:r w:rsidR="007B64BB">
        <w:t>.</w:t>
      </w:r>
    </w:p>
    <w:p w14:paraId="62FB386B" w14:textId="492A4870" w:rsidR="007B64BB" w:rsidRDefault="007B64BB" w:rsidP="008D4863">
      <w:r>
        <w:t xml:space="preserve">NTT DOCOMO proposed </w:t>
      </w:r>
      <w:r w:rsidR="008D4863">
        <w:t>that at least one of either indication SFN alignment in the handover</w:t>
      </w:r>
      <w:r>
        <w:t xml:space="preserve"> command</w:t>
      </w:r>
      <w:r w:rsidR="008D4863">
        <w:t xml:space="preserve">, the UE always assume alignment in TDD, or alignment is assumed </w:t>
      </w:r>
      <w:proofErr w:type="spellStart"/>
      <w:r>
        <w:t>UseServingCellTimingForSync</w:t>
      </w:r>
      <w:proofErr w:type="spellEnd"/>
      <w:r>
        <w:t xml:space="preserve"> is enabled</w:t>
      </w:r>
      <w:r w:rsidR="008D4863">
        <w:t>.</w:t>
      </w:r>
    </w:p>
    <w:p w14:paraId="54F584A1" w14:textId="2525E8A2" w:rsidR="000306DF" w:rsidRDefault="000306DF" w:rsidP="008D4863">
      <w:r>
        <w:t xml:space="preserve">Nokia proposed to </w:t>
      </w:r>
      <w:r w:rsidRPr="000306DF">
        <w:t>extend the UE assumption for ‘</w:t>
      </w:r>
      <w:proofErr w:type="spellStart"/>
      <w:r w:rsidRPr="000306DF">
        <w:t>useServingCellTimingForSync</w:t>
      </w:r>
      <w:proofErr w:type="spellEnd"/>
      <w:r w:rsidRPr="000306DF">
        <w:t>’ (when set TRUE) to cover also SFN alignment between cells</w:t>
      </w:r>
      <w:r>
        <w:t>.</w:t>
      </w:r>
    </w:p>
    <w:p w14:paraId="733109FB" w14:textId="668B2F36" w:rsidR="00284E0D" w:rsidRDefault="00284E0D" w:rsidP="00284E0D">
      <w:r w:rsidRPr="00D57F77">
        <w:rPr>
          <w:b/>
        </w:rPr>
        <w:t>Feature lea</w:t>
      </w:r>
      <w:r>
        <w:rPr>
          <w:b/>
        </w:rPr>
        <w:t>d comment</w:t>
      </w:r>
      <w:r w:rsidRPr="00D57F77">
        <w:rPr>
          <w:b/>
        </w:rPr>
        <w:t>:</w:t>
      </w:r>
      <w:r>
        <w:rPr>
          <w:b/>
        </w:rPr>
        <w:t xml:space="preserve"> </w:t>
      </w:r>
      <w:r>
        <w:t>Discuss further during the week.</w:t>
      </w:r>
    </w:p>
    <w:p w14:paraId="06758D15" w14:textId="2758E61A" w:rsidR="00997E71" w:rsidRDefault="006402FB" w:rsidP="00284E0D">
      <w:r>
        <w:rPr>
          <w:highlight w:val="yellow"/>
        </w:rPr>
        <w:t>Proposal for agreement</w:t>
      </w:r>
      <w:r w:rsidR="00997E71" w:rsidRPr="00061194">
        <w:rPr>
          <w:highlight w:val="yellow"/>
        </w:rPr>
        <w:t>:</w:t>
      </w:r>
    </w:p>
    <w:p w14:paraId="2E62DC6F" w14:textId="71C3B78E" w:rsidR="00997E71" w:rsidRDefault="00152343" w:rsidP="006402FB">
      <w:pPr>
        <w:pStyle w:val="ListParagraph"/>
        <w:numPr>
          <w:ilvl w:val="0"/>
          <w:numId w:val="17"/>
        </w:numPr>
      </w:pPr>
      <w:r>
        <w:t>For TDD, the</w:t>
      </w:r>
      <w:r w:rsidRPr="00997E71">
        <w:t xml:space="preserve"> </w:t>
      </w:r>
      <w:r w:rsidR="00997E71" w:rsidRPr="00997E71">
        <w:t xml:space="preserve">UE </w:t>
      </w:r>
      <w:r>
        <w:t xml:space="preserve">may </w:t>
      </w:r>
      <w:r w:rsidR="00997E71" w:rsidRPr="00997E71">
        <w:t>assume that</w:t>
      </w:r>
      <w:r w:rsidR="00997E71">
        <w:t xml:space="preserve"> </w:t>
      </w:r>
      <w:r w:rsidR="00997E71" w:rsidRPr="00997E71">
        <w:t>the SFN is aligned among cells of the same carrier frequency</w:t>
      </w:r>
    </w:p>
    <w:p w14:paraId="1D9980DA" w14:textId="5008938F" w:rsidR="00677A47" w:rsidRDefault="00677A47" w:rsidP="00677A47">
      <w:pPr>
        <w:pStyle w:val="Heading1"/>
      </w:pPr>
      <w:r>
        <w:t>F</w:t>
      </w:r>
      <w:r w:rsidRPr="00677A47">
        <w:t xml:space="preserve">raudulent use of </w:t>
      </w:r>
      <w:r>
        <w:t>valid SS/PBCH block indication</w:t>
      </w:r>
    </w:p>
    <w:p w14:paraId="18B4B06F" w14:textId="7119B1E0" w:rsidR="007B4BCC" w:rsidRDefault="000306DF" w:rsidP="007B4BCC">
      <w:r>
        <w:t>T</w:t>
      </w:r>
      <w:r w:rsidR="00677A47">
        <w:t xml:space="preserve">o capture </w:t>
      </w:r>
      <w:r>
        <w:t xml:space="preserve">some </w:t>
      </w:r>
      <w:r w:rsidR="00677A47">
        <w:t xml:space="preserve">UE behaviour in the specification </w:t>
      </w:r>
      <w:r>
        <w:t xml:space="preserve">for this case </w:t>
      </w:r>
      <w:r w:rsidR="00677A47">
        <w:t xml:space="preserve">was </w:t>
      </w:r>
      <w:r>
        <w:t xml:space="preserve">supported by </w:t>
      </w:r>
      <w:r w:rsidR="00677A47">
        <w:t>ZTE</w:t>
      </w:r>
      <w:r w:rsidR="005617C2">
        <w:t>, NTT DOCOMO</w:t>
      </w:r>
      <w:r w:rsidR="005B0CF7">
        <w:t xml:space="preserve"> and </w:t>
      </w:r>
      <w:r>
        <w:t>Nokia.</w:t>
      </w:r>
      <w:r w:rsidR="005B0CF7">
        <w:t xml:space="preserve"> Qualcomm is fine to include some text if strong desire is there. </w:t>
      </w:r>
      <w:r w:rsidR="007B4BCC">
        <w:t>Ericsson suggested that an informative note might be used to avoid specifying exact UE behaviour.</w:t>
      </w:r>
      <w:r w:rsidR="005B0CF7" w:rsidRPr="005B0CF7">
        <w:t xml:space="preserve"> </w:t>
      </w:r>
      <w:r w:rsidR="005B0CF7">
        <w:t>Samsung stated that this can be handled by UE implementation and no text is needed.</w:t>
      </w:r>
    </w:p>
    <w:p w14:paraId="4A0F929D" w14:textId="4EAEB277" w:rsidR="00A71AAE" w:rsidRDefault="00A71AAE" w:rsidP="00A71AAE">
      <w:r w:rsidRPr="00D57F77">
        <w:rPr>
          <w:b/>
        </w:rPr>
        <w:lastRenderedPageBreak/>
        <w:t>Feature lea</w:t>
      </w:r>
      <w:r>
        <w:rPr>
          <w:b/>
        </w:rPr>
        <w:t>d comment</w:t>
      </w:r>
      <w:r w:rsidRPr="00D57F77">
        <w:rPr>
          <w:b/>
        </w:rPr>
        <w:t>:</w:t>
      </w:r>
      <w:r>
        <w:rPr>
          <w:b/>
        </w:rPr>
        <w:t xml:space="preserve"> </w:t>
      </w:r>
      <w:r>
        <w:t>Discuss further during the week to settle on a text</w:t>
      </w:r>
      <w:r w:rsidR="00284E0D">
        <w:t xml:space="preserve"> proposal</w:t>
      </w:r>
      <w:r w:rsidR="00452BFD">
        <w:t xml:space="preserve"> </w:t>
      </w:r>
      <w:proofErr w:type="gramStart"/>
      <w:r w:rsidR="00452BFD">
        <w:t xml:space="preserve">for </w:t>
      </w:r>
      <w:r>
        <w:t>.</w:t>
      </w:r>
      <w:proofErr w:type="gramEnd"/>
    </w:p>
    <w:p w14:paraId="38001B81" w14:textId="653E4E42" w:rsidR="00452BFD" w:rsidRDefault="00452BFD" w:rsidP="00A71AAE"/>
    <w:p w14:paraId="224D1D2F" w14:textId="6BF96194" w:rsidR="00452BFD" w:rsidRDefault="00452BFD" w:rsidP="00A71AAE"/>
    <w:p w14:paraId="6D157B0B" w14:textId="4C2261D1" w:rsidR="00452BFD" w:rsidRDefault="00452BFD" w:rsidP="00A71AAE">
      <w:r>
        <w:t>Proposal from Jorma:</w:t>
      </w:r>
    </w:p>
    <w:p w14:paraId="74249C61" w14:textId="1E034A20" w:rsidR="00452BFD" w:rsidRDefault="00452BFD" w:rsidP="00452BFD">
      <w:pPr>
        <w:pStyle w:val="ListParagraph"/>
        <w:numPr>
          <w:ilvl w:val="0"/>
          <w:numId w:val="17"/>
        </w:numPr>
      </w:pPr>
      <w:r>
        <w:rPr>
          <w:lang w:val="en-US"/>
        </w:rPr>
        <w:t>Ad</w:t>
      </w:r>
      <w:r w:rsidR="00105789">
        <w:rPr>
          <w:lang w:val="en-US"/>
        </w:rPr>
        <w:t>d</w:t>
      </w:r>
      <w:r>
        <w:rPr>
          <w:lang w:val="en-US"/>
        </w:rPr>
        <w:t xml:space="preserve"> to below </w:t>
      </w:r>
      <w:r w:rsidRPr="00E4168E">
        <w:t>TP on 38.213, section 13:</w:t>
      </w:r>
    </w:p>
    <w:p w14:paraId="3DBAE704" w14:textId="1CD9E590" w:rsidR="00105789" w:rsidRPr="00105789" w:rsidRDefault="00105789" w:rsidP="00F45FEF">
      <w:pPr>
        <w:ind w:left="567"/>
        <w:rPr>
          <w:rFonts w:ascii="Times New Roman" w:hAnsi="Times New Roman"/>
          <w:color w:val="FF0000"/>
          <w:u w:val="single"/>
        </w:rPr>
      </w:pPr>
      <w:r w:rsidRPr="00105789">
        <w:rPr>
          <w:rFonts w:ascii="Times New Roman" w:hAnsi="Times New Roman"/>
          <w:color w:val="FF0000"/>
          <w:u w:val="single"/>
        </w:rPr>
        <w:t xml:space="preserve">If UE has not detected any SS/PBCH block which control resource set for Type0-PDCCH common search space is present </w:t>
      </w:r>
      <w:r>
        <w:rPr>
          <w:rFonts w:ascii="Times New Roman" w:hAnsi="Times New Roman"/>
          <w:color w:val="FF0000"/>
          <w:u w:val="single"/>
        </w:rPr>
        <w:t xml:space="preserve">within a reasonable </w:t>
      </w:r>
      <w:r w:rsidRPr="00105789">
        <w:rPr>
          <w:rFonts w:ascii="Times New Roman" w:hAnsi="Times New Roman"/>
          <w:color w:val="FF0000"/>
          <w:u w:val="single"/>
        </w:rPr>
        <w:t>time, UE may ignore the assistance information related to GSCN of SS/PBCH locations in its SS/PBCH block search</w:t>
      </w:r>
    </w:p>
    <w:p w14:paraId="470D4B72" w14:textId="77777777" w:rsidR="00452BFD" w:rsidRDefault="00452BFD" w:rsidP="00452BFD">
      <w:pPr>
        <w:ind w:left="360"/>
      </w:pPr>
    </w:p>
    <w:p w14:paraId="38366FC5" w14:textId="74904303" w:rsidR="00452BFD" w:rsidRDefault="00452BFD" w:rsidP="00452BFD">
      <w:r w:rsidRPr="00452BFD">
        <w:t xml:space="preserve">Proposal </w:t>
      </w:r>
      <w:r>
        <w:t>from NTT DOCOMO</w:t>
      </w:r>
      <w:r w:rsidRPr="00452BFD">
        <w:t>:</w:t>
      </w:r>
    </w:p>
    <w:p w14:paraId="66695D7C" w14:textId="3D306E11" w:rsidR="00452BFD" w:rsidRDefault="00452BFD" w:rsidP="00452BFD">
      <w:pPr>
        <w:pStyle w:val="ListParagraph"/>
        <w:numPr>
          <w:ilvl w:val="0"/>
          <w:numId w:val="17"/>
        </w:numPr>
      </w:pPr>
      <w:r w:rsidRPr="00452BFD">
        <w:rPr>
          <w:lang w:val="en-US"/>
        </w:rPr>
        <w:t xml:space="preserve">Adopt to below </w:t>
      </w:r>
      <w:r w:rsidRPr="00E4168E">
        <w:t>TP on 38.213, section 13:</w:t>
      </w:r>
    </w:p>
    <w:p w14:paraId="6B5F2BA0" w14:textId="77777777" w:rsidR="00F45FEF" w:rsidRDefault="00F45FEF" w:rsidP="00F45FEF">
      <w:pPr>
        <w:spacing w:after="180"/>
        <w:ind w:left="567"/>
        <w:textAlignment w:val="bottom"/>
        <w:rPr>
          <w:rFonts w:ascii="Times New Roman" w:eastAsia="Yu Mincho" w:hAnsi="Times New Roman"/>
          <w:lang w:val="en-US" w:eastAsia="en-US"/>
        </w:rPr>
      </w:pPr>
      <w:r>
        <w:rPr>
          <w:rFonts w:ascii="Times New Roman" w:eastAsia="Yu Mincho" w:hAnsi="Times New Roman"/>
        </w:rPr>
        <w:t xml:space="preserve">If a UE detects a first SS/PBCH block and determines that a control resource set for Type0-PDCCH common search space is not present, and for </w:t>
      </w:r>
      <w:r>
        <w:rPr>
          <w:rFonts w:ascii="Times New Roman" w:eastAsia="Yu Mincho" w:hAnsi="Times New Roman"/>
          <w:noProof/>
          <w:position w:val="-10"/>
          <w:lang w:eastAsia="ja-JP"/>
        </w:rPr>
        <w:drawing>
          <wp:inline distT="0" distB="0" distL="0" distR="0" wp14:anchorId="1A8098D0" wp14:editId="52732DBE">
            <wp:extent cx="762000" cy="2000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FR1 or for </w:t>
      </w:r>
      <w:r>
        <w:rPr>
          <w:rFonts w:ascii="Times New Roman" w:eastAsia="Yu Mincho" w:hAnsi="Times New Roman"/>
          <w:noProof/>
          <w:position w:val="-10"/>
          <w:lang w:eastAsia="ja-JP"/>
        </w:rPr>
        <w:drawing>
          <wp:inline distT="0" distB="0" distL="0" distR="0" wp14:anchorId="27AEA51F" wp14:editId="72015A98">
            <wp:extent cx="7334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FR2, the UE </w:t>
      </w:r>
      <w:r>
        <w:rPr>
          <w:rFonts w:ascii="Times New Roman" w:eastAsia="Yu Mincho" w:hAnsi="Times New Roman"/>
          <w:color w:val="FF0000"/>
          <w:u w:val="single"/>
          <w:lang w:eastAsia="ja-JP"/>
        </w:rPr>
        <w:t>may</w:t>
      </w:r>
      <w:r>
        <w:rPr>
          <w:rFonts w:ascii="Times New Roman" w:eastAsia="Yu Mincho" w:hAnsi="Times New Roman"/>
          <w:lang w:eastAsia="ja-JP"/>
        </w:rPr>
        <w:t xml:space="preserve"> </w:t>
      </w:r>
      <w:r>
        <w:rPr>
          <w:rFonts w:ascii="Times New Roman" w:eastAsia="Yu Mincho" w:hAnsi="Times New Roman"/>
        </w:rPr>
        <w:t xml:space="preserve">determine the global synchronization channel number (GSCN) of a second SS/PBCH block having a control resource set for an associated Type0-PDCCH common search space as </w:t>
      </w:r>
      <w:r>
        <w:rPr>
          <w:rFonts w:ascii="Times New Roman" w:eastAsia="Yu Mincho" w:hAnsi="Times New Roman"/>
          <w:noProof/>
          <w:position w:val="-10"/>
          <w:lang w:eastAsia="ja-JP"/>
        </w:rPr>
        <w:drawing>
          <wp:inline distT="0" distB="0" distL="0" distR="0" wp14:anchorId="38FD6C3C" wp14:editId="6D2E0CBD">
            <wp:extent cx="895350" cy="2190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219075"/>
                    </a:xfrm>
                    <a:prstGeom prst="rect">
                      <a:avLst/>
                    </a:prstGeom>
                    <a:noFill/>
                    <a:ln>
                      <a:noFill/>
                    </a:ln>
                  </pic:spPr>
                </pic:pic>
              </a:graphicData>
            </a:graphic>
          </wp:inline>
        </w:drawing>
      </w:r>
      <w:r>
        <w:rPr>
          <w:rFonts w:ascii="Times New Roman" w:eastAsia="Yu Mincho" w:hAnsi="Times New Roman"/>
        </w:rPr>
        <w:t xml:space="preserve">. </w:t>
      </w:r>
      <w:r>
        <w:rPr>
          <w:rFonts w:ascii="Times New Roman" w:eastAsia="Yu Mincho" w:hAnsi="Times New Roman"/>
          <w:noProof/>
          <w:position w:val="-10"/>
          <w:lang w:eastAsia="ja-JP"/>
        </w:rPr>
        <w:drawing>
          <wp:inline distT="0" distB="0" distL="0" distR="0" wp14:anchorId="1AABB1CA" wp14:editId="47D04110">
            <wp:extent cx="46672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Pr>
          <w:rFonts w:ascii="Times New Roman" w:eastAsia="Yu Mincho" w:hAnsi="Times New Roman"/>
        </w:rPr>
        <w:t xml:space="preserve"> is the GSCN of the first SS/PBCH block and </w:t>
      </w:r>
      <w:r>
        <w:rPr>
          <w:rFonts w:ascii="Times New Roman" w:eastAsia="Yu Mincho" w:hAnsi="Times New Roman"/>
          <w:noProof/>
          <w:position w:val="-10"/>
          <w:lang w:eastAsia="ja-JP"/>
        </w:rPr>
        <w:drawing>
          <wp:inline distT="0" distB="0" distL="0" distR="0" wp14:anchorId="1B5CE2E0" wp14:editId="5578599B">
            <wp:extent cx="35242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 is a GSCN offset provided by Table 13-16 for FR1 and Table 13-17 for FR2. </w:t>
      </w:r>
      <w:r>
        <w:rPr>
          <w:rFonts w:ascii="Times New Roman" w:eastAsia="Yu Mincho" w:hAnsi="Times New Roman"/>
          <w:color w:val="FF0000"/>
          <w:u w:val="single"/>
        </w:rPr>
        <w:t xml:space="preserve">If a UE detects the second SS/PBCH block at </w:t>
      </w:r>
      <w:r>
        <w:rPr>
          <w:rFonts w:ascii="Times New Roman" w:eastAsia="Yu Mincho" w:hAnsi="Times New Roman"/>
          <w:noProof/>
          <w:color w:val="FF0000"/>
          <w:position w:val="-10"/>
          <w:lang w:eastAsia="ja-JP"/>
        </w:rPr>
        <w:drawing>
          <wp:inline distT="0" distB="0" distL="0" distR="0" wp14:anchorId="05126BED" wp14:editId="2EC303B1">
            <wp:extent cx="8858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eastAsia="Yu Mincho" w:hAnsi="Times New Roman"/>
          <w:color w:val="FF0000"/>
          <w:u w:val="single"/>
        </w:rPr>
        <w:t xml:space="preserve"> according to the indication in the first SS/PBCH block and determines that a control resource set for Type0-PDCCH common search space is not present</w:t>
      </w:r>
      <w:r>
        <w:rPr>
          <w:rFonts w:ascii="Times New Roman" w:eastAsia="Yu Mincho" w:hAnsi="Times New Roman"/>
          <w:color w:val="FF0000"/>
          <w:u w:val="single"/>
          <w:lang w:eastAsia="ja-JP"/>
        </w:rPr>
        <w:t xml:space="preserve"> as specified in sub-clause 4.1</w:t>
      </w:r>
      <w:r>
        <w:rPr>
          <w:rFonts w:ascii="Times New Roman" w:eastAsia="Yu Mincho" w:hAnsi="Times New Roman"/>
          <w:color w:val="FF0000"/>
          <w:u w:val="single"/>
        </w:rPr>
        <w:t xml:space="preserve">, the UE </w:t>
      </w:r>
      <w:r>
        <w:rPr>
          <w:rFonts w:ascii="Times New Roman" w:eastAsia="Yu Mincho" w:hAnsi="Times New Roman"/>
          <w:color w:val="FF0000"/>
          <w:u w:val="single"/>
          <w:lang w:eastAsia="ja-JP"/>
        </w:rPr>
        <w:t>may</w:t>
      </w:r>
      <w:r>
        <w:rPr>
          <w:rFonts w:ascii="Times New Roman" w:eastAsia="Yu Mincho" w:hAnsi="Times New Roman"/>
          <w:color w:val="FF0000"/>
          <w:u w:val="single"/>
        </w:rPr>
        <w:t xml:space="preserve"> no longer attempt to detect a SS/PBCH block within </w:t>
      </w:r>
      <w:r>
        <w:rPr>
          <w:rFonts w:ascii="Times New Roman" w:eastAsia="Yu Mincho" w:hAnsi="Times New Roman"/>
          <w:noProof/>
          <w:color w:val="FF0000"/>
          <w:position w:val="-10"/>
          <w:lang w:eastAsia="ja-JP"/>
        </w:rPr>
        <w:drawing>
          <wp:inline distT="0" distB="0" distL="0" distR="0" wp14:anchorId="0A7177AB" wp14:editId="3E0890D8">
            <wp:extent cx="88582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eastAsia="Yu Mincho" w:hAnsi="Times New Roman"/>
          <w:color w:val="FF0000"/>
          <w:u w:val="single"/>
        </w:rPr>
        <w:t xml:space="preserve"> and the first SS/PBCH block (identified by PCI and GSCN) until the UE completes search of SS/PBCH blocks in the supported NR frequency bands.</w:t>
      </w:r>
    </w:p>
    <w:p w14:paraId="05FB47A3" w14:textId="0EBC41FC" w:rsidR="00452BFD" w:rsidRDefault="00F45FEF" w:rsidP="00F45FEF">
      <w:pPr>
        <w:ind w:left="567"/>
      </w:pPr>
      <w:r>
        <w:rPr>
          <w:rFonts w:ascii="Times New Roman" w:eastAsia="Yu Mincho" w:hAnsi="Times New Roman"/>
        </w:rPr>
        <w:t xml:space="preserve">If a UE detects a SS/PBCH block and determines that a control resource set for Type0-PDCCH common search space is not present, and for </w:t>
      </w:r>
      <w:r>
        <w:rPr>
          <w:rFonts w:ascii="Times New Roman" w:eastAsia="Yu Mincho" w:hAnsi="Times New Roman"/>
          <w:noProof/>
          <w:position w:val="-10"/>
          <w:lang w:eastAsia="ja-JP"/>
        </w:rPr>
        <w:drawing>
          <wp:inline distT="0" distB="0" distL="0" distR="0" wp14:anchorId="69A9915F" wp14:editId="293AE0B9">
            <wp:extent cx="495300" cy="2000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FR1 or for </w:t>
      </w:r>
      <w:r>
        <w:rPr>
          <w:rFonts w:ascii="Times New Roman" w:eastAsia="Yu Mincho" w:hAnsi="Times New Roman"/>
          <w:noProof/>
          <w:position w:val="-10"/>
          <w:lang w:eastAsia="ja-JP"/>
        </w:rPr>
        <w:drawing>
          <wp:inline distT="0" distB="0" distL="0" distR="0" wp14:anchorId="52CBF2AC" wp14:editId="752985AD">
            <wp:extent cx="495300" cy="2000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FR2, the UE </w:t>
      </w:r>
      <w:r>
        <w:rPr>
          <w:rFonts w:ascii="Times New Roman" w:eastAsia="Yu Mincho" w:hAnsi="Times New Roman"/>
          <w:color w:val="FF0000"/>
          <w:u w:val="single"/>
          <w:lang w:eastAsia="ja-JP"/>
        </w:rPr>
        <w:t>may</w:t>
      </w:r>
      <w:r>
        <w:rPr>
          <w:rFonts w:ascii="Times New Roman" w:eastAsia="Yu Mincho" w:hAnsi="Times New Roman"/>
          <w:lang w:eastAsia="ja-JP"/>
        </w:rPr>
        <w:t xml:space="preserve"> </w:t>
      </w:r>
      <w:proofErr w:type="gramStart"/>
      <w:r>
        <w:rPr>
          <w:rFonts w:ascii="Times New Roman" w:eastAsia="Yu Mincho" w:hAnsi="Times New Roman"/>
        </w:rPr>
        <w:t>determines</w:t>
      </w:r>
      <w:proofErr w:type="gramEnd"/>
      <w:r>
        <w:rPr>
          <w:rFonts w:ascii="Times New Roman" w:eastAsia="Yu Mincho" w:hAnsi="Times New Roman"/>
        </w:rPr>
        <w:t xml:space="preserve"> that there is no SS/PBCH block having an associated Type0-PDCCH common search space within a GSCN range </w:t>
      </w:r>
      <w:r>
        <w:rPr>
          <w:rFonts w:ascii="Times New Roman" w:eastAsia="Yu Mincho" w:hAnsi="Times New Roman"/>
          <w:noProof/>
          <w:position w:val="-10"/>
          <w:lang w:eastAsia="ja-JP"/>
        </w:rPr>
        <w:drawing>
          <wp:inline distT="0" distB="0" distL="0" distR="0" wp14:anchorId="54FA2BD7" wp14:editId="1C70C9D3">
            <wp:extent cx="1914525" cy="2095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14525" cy="209550"/>
                    </a:xfrm>
                    <a:prstGeom prst="rect">
                      <a:avLst/>
                    </a:prstGeom>
                    <a:noFill/>
                    <a:ln>
                      <a:noFill/>
                    </a:ln>
                  </pic:spPr>
                </pic:pic>
              </a:graphicData>
            </a:graphic>
          </wp:inline>
        </w:drawing>
      </w:r>
      <w:r>
        <w:rPr>
          <w:rFonts w:ascii="Times New Roman" w:eastAsia="Yu Mincho" w:hAnsi="Times New Roman"/>
        </w:rPr>
        <w:t xml:space="preserve"> </w:t>
      </w:r>
      <w:r>
        <w:rPr>
          <w:rFonts w:ascii="Times New Roman" w:eastAsia="Yu Mincho" w:hAnsi="Times New Roman"/>
          <w:color w:val="FF0000"/>
          <w:u w:val="single"/>
        </w:rPr>
        <w:t>until the UE completes the search of SS/PBCH blocks in the supported NR frequency bands.</w:t>
      </w:r>
      <w:r>
        <w:rPr>
          <w:rFonts w:ascii="Times New Roman" w:eastAsia="Yu Mincho" w:hAnsi="Times New Roman"/>
        </w:rPr>
        <w:t xml:space="preserve"> </w:t>
      </w:r>
      <w:r>
        <w:rPr>
          <w:rFonts w:ascii="Times New Roman" w:eastAsia="Yu Mincho" w:hAnsi="Times New Roman"/>
          <w:noProof/>
          <w:position w:val="-10"/>
          <w:lang w:eastAsia="ja-JP"/>
        </w:rPr>
        <w:drawing>
          <wp:inline distT="0" distB="0" distL="0" distR="0" wp14:anchorId="2DFB5AA7" wp14:editId="1ED17896">
            <wp:extent cx="352425" cy="2095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and </w:t>
      </w:r>
      <w:r>
        <w:rPr>
          <w:rFonts w:ascii="Times New Roman" w:eastAsia="Yu Mincho" w:hAnsi="Times New Roman"/>
          <w:noProof/>
          <w:position w:val="-10"/>
          <w:lang w:eastAsia="ja-JP"/>
        </w:rPr>
        <w:drawing>
          <wp:inline distT="0" distB="0" distL="0" distR="0" wp14:anchorId="650BC3A5" wp14:editId="0F5D70C7">
            <wp:extent cx="3524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 are respectively determined by the four most significant bits and the four least significant bits </w:t>
      </w:r>
      <w:r>
        <w:rPr>
          <w:rFonts w:ascii="Times New Roman" w:eastAsia="Yu Mincho" w:hAnsi="Times New Roman"/>
          <w:iCs/>
        </w:rPr>
        <w:t xml:space="preserve">of </w:t>
      </w:r>
      <w:r>
        <w:rPr>
          <w:rFonts w:ascii="Times New Roman" w:eastAsia="Yu Mincho" w:hAnsi="Times New Roman"/>
          <w:i/>
          <w:iCs/>
        </w:rPr>
        <w:t>RMSI-PDCCH-Config</w:t>
      </w:r>
      <w:r>
        <w:rPr>
          <w:rFonts w:ascii="Times New Roman" w:eastAsia="Yu Mincho" w:hAnsi="Times New Roman"/>
          <w:iCs/>
        </w:rPr>
        <w:t xml:space="preserve">. </w:t>
      </w:r>
    </w:p>
    <w:p w14:paraId="1FA307A7" w14:textId="4C695088" w:rsidR="00002C7D" w:rsidRDefault="00002C7D" w:rsidP="00A71AAE"/>
    <w:p w14:paraId="36D4E16C" w14:textId="55CB2A56" w:rsidR="00E4168E" w:rsidRDefault="00E4168E" w:rsidP="00A71AAE">
      <w:r w:rsidRPr="00452BFD">
        <w:t xml:space="preserve">Proposal </w:t>
      </w:r>
      <w:r w:rsidR="00452BFD">
        <w:t>drafted during offline</w:t>
      </w:r>
      <w:r w:rsidRPr="00452BFD">
        <w:t>:</w:t>
      </w:r>
    </w:p>
    <w:p w14:paraId="460620C9" w14:textId="77777777" w:rsidR="00452BFD" w:rsidRPr="00E4168E" w:rsidRDefault="00452BFD" w:rsidP="00452BFD">
      <w:pPr>
        <w:pStyle w:val="ListParagraph"/>
        <w:numPr>
          <w:ilvl w:val="0"/>
          <w:numId w:val="18"/>
        </w:numPr>
      </w:pPr>
      <w:r>
        <w:rPr>
          <w:lang w:val="en-US"/>
        </w:rPr>
        <w:t xml:space="preserve">Adopt to below </w:t>
      </w:r>
      <w:r w:rsidRPr="00E4168E">
        <w:t>TP on 38.213, section 13:</w:t>
      </w:r>
    </w:p>
    <w:p w14:paraId="64F205CE" w14:textId="44AFC7F0" w:rsidR="00002C7D" w:rsidRDefault="00002C7D" w:rsidP="00002C7D">
      <w:pPr>
        <w:spacing w:after="180"/>
        <w:ind w:left="567"/>
        <w:textAlignment w:val="bottom"/>
        <w:rPr>
          <w:rFonts w:ascii="Times New Roman" w:eastAsia="Yu Mincho" w:hAnsi="Times New Roman"/>
          <w:lang w:val="en-US" w:eastAsia="en-US"/>
        </w:rPr>
      </w:pPr>
      <w:r>
        <w:rPr>
          <w:rFonts w:ascii="Times New Roman" w:eastAsia="Yu Mincho" w:hAnsi="Times New Roman"/>
        </w:rPr>
        <w:t xml:space="preserve">If a UE detects a first SS/PBCH block and determines that a control resource set for Type0-PDCCH common search space is not present, and for </w:t>
      </w:r>
      <w:r>
        <w:rPr>
          <w:rFonts w:ascii="Times New Roman" w:eastAsia="Yu Mincho" w:hAnsi="Times New Roman"/>
          <w:noProof/>
          <w:position w:val="-10"/>
          <w:lang w:eastAsia="ja-JP"/>
        </w:rPr>
        <w:drawing>
          <wp:inline distT="0" distB="0" distL="0" distR="0" wp14:anchorId="239F118C" wp14:editId="2870DD83">
            <wp:extent cx="76200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FR1 or for </w:t>
      </w:r>
      <w:r>
        <w:rPr>
          <w:rFonts w:ascii="Times New Roman" w:eastAsia="Yu Mincho" w:hAnsi="Times New Roman"/>
          <w:noProof/>
          <w:position w:val="-10"/>
          <w:lang w:eastAsia="ja-JP"/>
        </w:rPr>
        <w:drawing>
          <wp:inline distT="0" distB="0" distL="0" distR="0" wp14:anchorId="0CEEA02B" wp14:editId="3983403A">
            <wp:extent cx="733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FR2, the UE </w:t>
      </w:r>
      <w:r>
        <w:rPr>
          <w:rFonts w:ascii="Times New Roman" w:eastAsia="Yu Mincho" w:hAnsi="Times New Roman"/>
          <w:color w:val="FF0000"/>
          <w:u w:val="single"/>
          <w:lang w:eastAsia="ja-JP"/>
        </w:rPr>
        <w:t>may</w:t>
      </w:r>
      <w:r>
        <w:rPr>
          <w:rFonts w:ascii="Times New Roman" w:eastAsia="Yu Mincho" w:hAnsi="Times New Roman"/>
          <w:lang w:eastAsia="ja-JP"/>
        </w:rPr>
        <w:t xml:space="preserve"> </w:t>
      </w:r>
      <w:r>
        <w:rPr>
          <w:rFonts w:ascii="Times New Roman" w:eastAsia="Yu Mincho" w:hAnsi="Times New Roman"/>
        </w:rPr>
        <w:t xml:space="preserve">determine the global synchronization channel number (GSCN) of a second SS/PBCH block having a control resource set for an associated Type0-PDCCH common search space as </w:t>
      </w:r>
      <w:r>
        <w:rPr>
          <w:rFonts w:ascii="Times New Roman" w:eastAsia="Yu Mincho" w:hAnsi="Times New Roman"/>
          <w:noProof/>
          <w:position w:val="-10"/>
          <w:lang w:eastAsia="ja-JP"/>
        </w:rPr>
        <w:drawing>
          <wp:inline distT="0" distB="0" distL="0" distR="0" wp14:anchorId="7B43CA28" wp14:editId="72AF5F9B">
            <wp:extent cx="89535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5350" cy="219075"/>
                    </a:xfrm>
                    <a:prstGeom prst="rect">
                      <a:avLst/>
                    </a:prstGeom>
                    <a:noFill/>
                    <a:ln>
                      <a:noFill/>
                    </a:ln>
                  </pic:spPr>
                </pic:pic>
              </a:graphicData>
            </a:graphic>
          </wp:inline>
        </w:drawing>
      </w:r>
      <w:r>
        <w:rPr>
          <w:rFonts w:ascii="Times New Roman" w:eastAsia="Yu Mincho" w:hAnsi="Times New Roman"/>
        </w:rPr>
        <w:t xml:space="preserve">. </w:t>
      </w:r>
      <w:r>
        <w:rPr>
          <w:rFonts w:ascii="Times New Roman" w:eastAsia="Yu Mincho" w:hAnsi="Times New Roman"/>
          <w:noProof/>
          <w:position w:val="-10"/>
          <w:lang w:eastAsia="ja-JP"/>
        </w:rPr>
        <w:drawing>
          <wp:inline distT="0" distB="0" distL="0" distR="0" wp14:anchorId="4CF3BFE8" wp14:editId="3E161833">
            <wp:extent cx="466725" cy="2095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Pr>
          <w:rFonts w:ascii="Times New Roman" w:eastAsia="Yu Mincho" w:hAnsi="Times New Roman"/>
        </w:rPr>
        <w:t xml:space="preserve"> is the GSCN of the first SS/PBCH block and </w:t>
      </w:r>
      <w:r>
        <w:rPr>
          <w:rFonts w:ascii="Times New Roman" w:eastAsia="Yu Mincho" w:hAnsi="Times New Roman"/>
          <w:noProof/>
          <w:position w:val="-10"/>
          <w:lang w:eastAsia="ja-JP"/>
        </w:rPr>
        <w:drawing>
          <wp:inline distT="0" distB="0" distL="0" distR="0" wp14:anchorId="70AB2C19" wp14:editId="71C7B789">
            <wp:extent cx="3524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 is a GSCN offset provided by Table 13-16 for FR1 and Table 13-17 for FR2. </w:t>
      </w:r>
      <w:r>
        <w:rPr>
          <w:rFonts w:ascii="Times New Roman" w:eastAsia="Yu Mincho" w:hAnsi="Times New Roman"/>
          <w:color w:val="FF0000"/>
          <w:u w:val="single"/>
        </w:rPr>
        <w:t xml:space="preserve">If a UE detects the second SS/PBCH block at </w:t>
      </w:r>
      <w:r>
        <w:rPr>
          <w:rFonts w:ascii="Times New Roman" w:eastAsia="Yu Mincho" w:hAnsi="Times New Roman"/>
          <w:noProof/>
          <w:color w:val="FF0000"/>
          <w:position w:val="-10"/>
          <w:lang w:eastAsia="ja-JP"/>
        </w:rPr>
        <w:drawing>
          <wp:inline distT="0" distB="0" distL="0" distR="0" wp14:anchorId="15D8F7BC" wp14:editId="3FA4AF9A">
            <wp:extent cx="88582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r>
        <w:rPr>
          <w:rFonts w:ascii="Times New Roman" w:eastAsia="Yu Mincho" w:hAnsi="Times New Roman"/>
          <w:color w:val="FF0000"/>
          <w:u w:val="single"/>
        </w:rPr>
        <w:t xml:space="preserve"> according to the indication in the first SS/PBCH block and determines that a control resource set for Type0-PDCCH common search space is not present</w:t>
      </w:r>
      <w:r>
        <w:rPr>
          <w:rFonts w:ascii="Times New Roman" w:eastAsia="Yu Mincho" w:hAnsi="Times New Roman"/>
          <w:color w:val="FF0000"/>
          <w:u w:val="single"/>
          <w:lang w:eastAsia="ja-JP"/>
        </w:rPr>
        <w:t xml:space="preserve"> as specified in sub-clause 4.1</w:t>
      </w:r>
      <w:r>
        <w:rPr>
          <w:rFonts w:ascii="Times New Roman" w:eastAsia="Yu Mincho" w:hAnsi="Times New Roman"/>
          <w:color w:val="FF0000"/>
          <w:u w:val="single"/>
        </w:rPr>
        <w:t xml:space="preserve">, the UE </w:t>
      </w:r>
      <w:r>
        <w:rPr>
          <w:rFonts w:ascii="Times New Roman" w:eastAsia="Yu Mincho" w:hAnsi="Times New Roman"/>
          <w:color w:val="FF0000"/>
          <w:u w:val="single"/>
          <w:lang w:eastAsia="ja-JP"/>
        </w:rPr>
        <w:t>may</w:t>
      </w:r>
      <w:r>
        <w:rPr>
          <w:rFonts w:ascii="Times New Roman" w:eastAsia="Yu Mincho" w:hAnsi="Times New Roman"/>
          <w:color w:val="FF0000"/>
          <w:u w:val="single"/>
        </w:rPr>
        <w:t xml:space="preserve"> attempt to detect </w:t>
      </w:r>
      <w:r w:rsidR="00DD4795">
        <w:rPr>
          <w:rFonts w:ascii="Times New Roman" w:eastAsia="Yu Mincho" w:hAnsi="Times New Roman"/>
          <w:color w:val="FF0000"/>
          <w:u w:val="single"/>
        </w:rPr>
        <w:t xml:space="preserve">other </w:t>
      </w:r>
      <w:r>
        <w:rPr>
          <w:rFonts w:ascii="Times New Roman" w:eastAsia="Yu Mincho" w:hAnsi="Times New Roman"/>
          <w:color w:val="FF0000"/>
          <w:u w:val="single"/>
        </w:rPr>
        <w:t>SS/PBCH block</w:t>
      </w:r>
      <w:r w:rsidR="00E4168E">
        <w:rPr>
          <w:rFonts w:ascii="Times New Roman" w:eastAsia="Yu Mincho" w:hAnsi="Times New Roman"/>
          <w:color w:val="FF0000"/>
          <w:u w:val="single"/>
        </w:rPr>
        <w:t>s</w:t>
      </w:r>
      <w:r>
        <w:rPr>
          <w:rFonts w:ascii="Times New Roman" w:eastAsia="Yu Mincho" w:hAnsi="Times New Roman"/>
          <w:color w:val="FF0000"/>
          <w:u w:val="single"/>
        </w:rPr>
        <w:t xml:space="preserve"> in the supported NR frequency bands.</w:t>
      </w:r>
    </w:p>
    <w:p w14:paraId="234034B7" w14:textId="0319BBC7" w:rsidR="00002C7D" w:rsidRDefault="00002C7D" w:rsidP="00002C7D">
      <w:pPr>
        <w:ind w:left="567"/>
        <w:rPr>
          <w:rFonts w:ascii="Times New Roman" w:eastAsia="Yu Mincho" w:hAnsi="Times New Roman"/>
          <w:iCs/>
        </w:rPr>
      </w:pPr>
      <w:r>
        <w:rPr>
          <w:rFonts w:ascii="Times New Roman" w:eastAsia="Yu Mincho" w:hAnsi="Times New Roman"/>
        </w:rPr>
        <w:t xml:space="preserve">If a UE detects a SS/PBCH block and determines that a control resource set for Type0-PDCCH common search space is not present, and for </w:t>
      </w:r>
      <w:r>
        <w:rPr>
          <w:rFonts w:ascii="Times New Roman" w:eastAsia="Yu Mincho" w:hAnsi="Times New Roman"/>
          <w:noProof/>
          <w:position w:val="-10"/>
          <w:lang w:eastAsia="ja-JP"/>
        </w:rPr>
        <w:drawing>
          <wp:inline distT="0" distB="0" distL="0" distR="0" wp14:anchorId="1B6009D7" wp14:editId="4E663514">
            <wp:extent cx="4953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FR1 or for </w:t>
      </w:r>
      <w:r>
        <w:rPr>
          <w:rFonts w:ascii="Times New Roman" w:eastAsia="Yu Mincho" w:hAnsi="Times New Roman"/>
          <w:noProof/>
          <w:position w:val="-10"/>
          <w:lang w:eastAsia="ja-JP"/>
        </w:rPr>
        <w:drawing>
          <wp:inline distT="0" distB="0" distL="0" distR="0" wp14:anchorId="420F0E0B" wp14:editId="569A844D">
            <wp:extent cx="4953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Pr>
          <w:rFonts w:ascii="Times New Roman" w:eastAsia="Yu Mincho" w:hAnsi="Times New Roman"/>
        </w:rPr>
        <w:t xml:space="preserve"> </w:t>
      </w:r>
      <w:proofErr w:type="spellStart"/>
      <w:r>
        <w:rPr>
          <w:rFonts w:ascii="Times New Roman" w:eastAsia="Yu Mincho" w:hAnsi="Times New Roman"/>
        </w:rPr>
        <w:t>for</w:t>
      </w:r>
      <w:proofErr w:type="spellEnd"/>
      <w:r>
        <w:rPr>
          <w:rFonts w:ascii="Times New Roman" w:eastAsia="Yu Mincho" w:hAnsi="Times New Roman"/>
        </w:rPr>
        <w:t xml:space="preserve"> FR2, the UE </w:t>
      </w:r>
      <w:r>
        <w:rPr>
          <w:rFonts w:ascii="Times New Roman" w:eastAsia="Yu Mincho" w:hAnsi="Times New Roman"/>
          <w:color w:val="FF0000"/>
          <w:u w:val="single"/>
          <w:lang w:eastAsia="ja-JP"/>
        </w:rPr>
        <w:t>may</w:t>
      </w:r>
      <w:r w:rsidR="00083F28">
        <w:rPr>
          <w:rFonts w:ascii="Times New Roman" w:eastAsia="Yu Mincho" w:hAnsi="Times New Roman"/>
          <w:color w:val="FF0000"/>
          <w:u w:val="single"/>
          <w:lang w:eastAsia="ja-JP"/>
        </w:rPr>
        <w:t xml:space="preserve"> assume</w:t>
      </w:r>
      <w:r>
        <w:rPr>
          <w:rFonts w:ascii="Times New Roman" w:eastAsia="Yu Mincho" w:hAnsi="Times New Roman"/>
          <w:lang w:eastAsia="ja-JP"/>
        </w:rPr>
        <w:t xml:space="preserve"> </w:t>
      </w:r>
      <w:r w:rsidRPr="00083F28">
        <w:rPr>
          <w:rFonts w:ascii="Times New Roman" w:eastAsia="Yu Mincho" w:hAnsi="Times New Roman"/>
          <w:strike/>
          <w:color w:val="FF0000"/>
        </w:rPr>
        <w:t>determines</w:t>
      </w:r>
      <w:r>
        <w:rPr>
          <w:rFonts w:ascii="Times New Roman" w:eastAsia="Yu Mincho" w:hAnsi="Times New Roman"/>
        </w:rPr>
        <w:t xml:space="preserve"> that there is no SS/PBCH block having an associated Type0-PDCCH common search space within a GSCN range </w:t>
      </w:r>
      <w:r>
        <w:rPr>
          <w:rFonts w:ascii="Times New Roman" w:eastAsia="Yu Mincho" w:hAnsi="Times New Roman"/>
          <w:noProof/>
          <w:position w:val="-10"/>
          <w:lang w:eastAsia="ja-JP"/>
        </w:rPr>
        <w:drawing>
          <wp:inline distT="0" distB="0" distL="0" distR="0" wp14:anchorId="00D262AE" wp14:editId="2220657C">
            <wp:extent cx="1914525" cy="209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14525" cy="209550"/>
                    </a:xfrm>
                    <a:prstGeom prst="rect">
                      <a:avLst/>
                    </a:prstGeom>
                    <a:noFill/>
                    <a:ln>
                      <a:noFill/>
                    </a:ln>
                  </pic:spPr>
                </pic:pic>
              </a:graphicData>
            </a:graphic>
          </wp:inline>
        </w:drawing>
      </w:r>
      <w:r>
        <w:rPr>
          <w:rFonts w:ascii="Times New Roman" w:eastAsia="Yu Mincho" w:hAnsi="Times New Roman"/>
        </w:rPr>
        <w:t xml:space="preserve"> </w:t>
      </w:r>
      <w:r>
        <w:rPr>
          <w:rFonts w:ascii="Times New Roman" w:eastAsia="Yu Mincho" w:hAnsi="Times New Roman"/>
          <w:color w:val="FF0000"/>
          <w:u w:val="single"/>
        </w:rPr>
        <w:t>until the UE completes the search of SS/PBCH blocks in the supported NR frequency bands.</w:t>
      </w:r>
      <w:r>
        <w:rPr>
          <w:rFonts w:ascii="Times New Roman" w:eastAsia="Yu Mincho" w:hAnsi="Times New Roman"/>
        </w:rPr>
        <w:t xml:space="preserve"> </w:t>
      </w:r>
      <w:r>
        <w:rPr>
          <w:rFonts w:ascii="Times New Roman" w:eastAsia="Yu Mincho" w:hAnsi="Times New Roman"/>
          <w:noProof/>
          <w:position w:val="-10"/>
          <w:lang w:eastAsia="ja-JP"/>
        </w:rPr>
        <w:drawing>
          <wp:inline distT="0" distB="0" distL="0" distR="0" wp14:anchorId="4FE20955" wp14:editId="2D8CEB91">
            <wp:extent cx="3524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and </w:t>
      </w:r>
      <w:r>
        <w:rPr>
          <w:rFonts w:ascii="Times New Roman" w:eastAsia="Yu Mincho" w:hAnsi="Times New Roman"/>
          <w:noProof/>
          <w:position w:val="-10"/>
          <w:lang w:eastAsia="ja-JP"/>
        </w:rPr>
        <w:drawing>
          <wp:inline distT="0" distB="0" distL="0" distR="0" wp14:anchorId="1235E834" wp14:editId="3919D427">
            <wp:extent cx="35242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ascii="Times New Roman" w:eastAsia="Yu Mincho" w:hAnsi="Times New Roman"/>
        </w:rPr>
        <w:t xml:space="preserve"> are respectively determined by the four most significant bits and the four least significant bits </w:t>
      </w:r>
      <w:r>
        <w:rPr>
          <w:rFonts w:ascii="Times New Roman" w:eastAsia="Yu Mincho" w:hAnsi="Times New Roman"/>
          <w:iCs/>
        </w:rPr>
        <w:t xml:space="preserve">of </w:t>
      </w:r>
      <w:r>
        <w:rPr>
          <w:rFonts w:ascii="Times New Roman" w:eastAsia="Yu Mincho" w:hAnsi="Times New Roman"/>
          <w:i/>
          <w:iCs/>
        </w:rPr>
        <w:t>RMSI-PDCCH-Config</w:t>
      </w:r>
      <w:r>
        <w:rPr>
          <w:rFonts w:ascii="Times New Roman" w:eastAsia="Yu Mincho" w:hAnsi="Times New Roman"/>
          <w:iCs/>
        </w:rPr>
        <w:t xml:space="preserve">. </w:t>
      </w:r>
    </w:p>
    <w:p w14:paraId="32DDAACF" w14:textId="7CEE95B8" w:rsidR="00002C7D" w:rsidRDefault="00002C7D" w:rsidP="00002C7D">
      <w:r>
        <w:tab/>
      </w:r>
    </w:p>
    <w:p w14:paraId="73EA2B31" w14:textId="77777777" w:rsidR="00002C7D" w:rsidRPr="00D57F77" w:rsidRDefault="00002C7D" w:rsidP="00002C7D">
      <w:pPr>
        <w:ind w:left="567"/>
      </w:pPr>
    </w:p>
    <w:p w14:paraId="2ABF01C4" w14:textId="77777777" w:rsidR="007E5F01" w:rsidRDefault="007E5F01" w:rsidP="007E5F01">
      <w:pPr>
        <w:pStyle w:val="Heading1"/>
      </w:pPr>
      <w:r>
        <w:t>QCL</w:t>
      </w:r>
    </w:p>
    <w:p w14:paraId="7CB37C0A" w14:textId="77777777" w:rsidR="007E5F01" w:rsidRPr="00922E46" w:rsidRDefault="007E5F01" w:rsidP="007E5F01">
      <w:pPr>
        <w:rPr>
          <w:color w:val="E7E6E6" w:themeColor="background2"/>
        </w:rPr>
      </w:pPr>
      <w:r w:rsidRPr="00922E46">
        <w:rPr>
          <w:color w:val="E7E6E6" w:themeColor="background2"/>
        </w:rPr>
        <w:t xml:space="preserve">Lenovo and Motorola Mobility </w:t>
      </w:r>
      <w:r w:rsidRPr="00922E46">
        <w:rPr>
          <w:rFonts w:eastAsiaTheme="minorEastAsia"/>
          <w:color w:val="E7E6E6" w:themeColor="background2"/>
        </w:rPr>
        <w:t xml:space="preserve">propose to </w:t>
      </w:r>
      <w:r w:rsidRPr="00922E46">
        <w:rPr>
          <w:rFonts w:eastAsiaTheme="minorEastAsia" w:hint="eastAsia"/>
          <w:color w:val="E7E6E6" w:themeColor="background2"/>
        </w:rPr>
        <w:t>correct the QCL assumptions related to SS</w:t>
      </w:r>
      <w:r w:rsidRPr="00922E46">
        <w:rPr>
          <w:rFonts w:eastAsiaTheme="minorEastAsia"/>
          <w:color w:val="E7E6E6" w:themeColor="background2"/>
        </w:rPr>
        <w:t xml:space="preserve">/PBCH blocks since </w:t>
      </w:r>
      <w:r w:rsidRPr="00922E46">
        <w:rPr>
          <w:color w:val="E7E6E6" w:themeColor="background2"/>
        </w:rPr>
        <w:t>spatial Rx parameters are used only for above 6GHz.</w:t>
      </w:r>
    </w:p>
    <w:p w14:paraId="7FD88318" w14:textId="29F7BFEB" w:rsidR="007E5F01" w:rsidRPr="00922E46" w:rsidRDefault="007E5F01" w:rsidP="007B4BCC">
      <w:pPr>
        <w:rPr>
          <w:color w:val="E7E6E6" w:themeColor="background2"/>
        </w:rPr>
      </w:pPr>
      <w:r w:rsidRPr="00922E46">
        <w:rPr>
          <w:color w:val="E7E6E6" w:themeColor="background2"/>
        </w:rPr>
        <w:t>Proposal:</w:t>
      </w:r>
    </w:p>
    <w:p w14:paraId="208A6454" w14:textId="5AD00174" w:rsidR="007E5F01" w:rsidRPr="00922E46" w:rsidRDefault="007E5F01" w:rsidP="007E5F01">
      <w:pPr>
        <w:pStyle w:val="ListParagraph"/>
        <w:numPr>
          <w:ilvl w:val="0"/>
          <w:numId w:val="15"/>
        </w:numPr>
        <w:rPr>
          <w:color w:val="E7E6E6" w:themeColor="background2"/>
        </w:rPr>
      </w:pPr>
      <w:r w:rsidRPr="00922E46">
        <w:rPr>
          <w:color w:val="E7E6E6" w:themeColor="background2"/>
        </w:rPr>
        <w:t>Make the change “…</w:t>
      </w:r>
      <w:r w:rsidRPr="00922E46">
        <w:rPr>
          <w:rFonts w:ascii="Times New Roman" w:eastAsia="Batang" w:hAnsi="Times New Roman"/>
          <w:color w:val="E7E6E6" w:themeColor="background2"/>
          <w:lang w:eastAsia="en-US"/>
        </w:rPr>
        <w:t>to be quasi co-located with respect to Doppler shift, Doppler spread, average delay, delay spread, and</w:t>
      </w:r>
      <w:r w:rsidR="007F4ED0" w:rsidRPr="00922E46">
        <w:rPr>
          <w:rFonts w:ascii="Times New Roman" w:eastAsia="Batang" w:hAnsi="Times New Roman"/>
          <w:color w:val="E7E6E6" w:themeColor="background2"/>
          <w:u w:val="single"/>
          <w:lang w:eastAsia="en-US"/>
        </w:rPr>
        <w:t xml:space="preserve">, when applicable, </w:t>
      </w:r>
      <w:r w:rsidRPr="00922E46">
        <w:rPr>
          <w:rFonts w:ascii="Times New Roman" w:eastAsia="Batang" w:hAnsi="Times New Roman"/>
          <w:color w:val="E7E6E6" w:themeColor="background2"/>
          <w:lang w:eastAsia="en-US"/>
        </w:rPr>
        <w:t>spatial Rx</w:t>
      </w:r>
      <w:bookmarkStart w:id="1" w:name="OLE_LINK1"/>
      <w:bookmarkStart w:id="2" w:name="OLE_LINK2"/>
      <w:r w:rsidRPr="00922E46">
        <w:rPr>
          <w:rFonts w:ascii="Times New Roman" w:eastAsia="Batang" w:hAnsi="Times New Roman"/>
          <w:color w:val="E7E6E6" w:themeColor="background2"/>
          <w:u w:val="single"/>
          <w:lang w:eastAsia="en-US"/>
        </w:rPr>
        <w:t xml:space="preserve"> parameters</w:t>
      </w:r>
      <w:bookmarkEnd w:id="1"/>
      <w:bookmarkEnd w:id="2"/>
      <w:r w:rsidRPr="00922E46">
        <w:rPr>
          <w:rFonts w:ascii="Times New Roman" w:eastAsia="Batang" w:hAnsi="Times New Roman"/>
          <w:color w:val="E7E6E6" w:themeColor="background2"/>
          <w:lang w:eastAsia="en-US"/>
        </w:rPr>
        <w:t>.</w:t>
      </w:r>
      <w:r w:rsidRPr="00922E46">
        <w:rPr>
          <w:color w:val="E7E6E6" w:themeColor="background2"/>
        </w:rPr>
        <w:t xml:space="preserve">” to </w:t>
      </w:r>
      <w:r w:rsidR="007F4ED0" w:rsidRPr="00922E46">
        <w:rPr>
          <w:color w:val="E7E6E6" w:themeColor="background2"/>
        </w:rPr>
        <w:t xml:space="preserve">sections 7.4.1.1.2, 7.4.1.3.2 and 74.3.1. </w:t>
      </w:r>
    </w:p>
    <w:p w14:paraId="43F9B0C5" w14:textId="7C6424AF" w:rsidR="007E5F01" w:rsidRPr="00677A47" w:rsidRDefault="007E5F01" w:rsidP="007E5F01"/>
    <w:p w14:paraId="41388897" w14:textId="5EF7C05F" w:rsidR="004000E8" w:rsidRDefault="00E971A2" w:rsidP="00CE0424">
      <w:pPr>
        <w:pStyle w:val="Heading1"/>
      </w:pPr>
      <w:r>
        <w:t>Other</w:t>
      </w:r>
    </w:p>
    <w:p w14:paraId="3B7AD83E" w14:textId="77777777" w:rsidR="00E971A2" w:rsidRDefault="00E971A2" w:rsidP="00E971A2">
      <w:r>
        <w:t>These are issues raised by single companies that require further discussion.</w:t>
      </w:r>
    </w:p>
    <w:p w14:paraId="776DCF10" w14:textId="545F556E" w:rsidR="00E971A2" w:rsidRDefault="00E971A2" w:rsidP="00E971A2">
      <w:pPr>
        <w:pStyle w:val="Heading2"/>
      </w:pPr>
      <w:r w:rsidRPr="00E971A2">
        <w:t>MIB extension</w:t>
      </w:r>
    </w:p>
    <w:p w14:paraId="685D3839" w14:textId="6320AA03" w:rsidR="00E971A2" w:rsidRPr="00632605" w:rsidRDefault="00E971A2" w:rsidP="00E971A2">
      <w:r w:rsidRPr="00632605">
        <w:t xml:space="preserve">Huawei suggested clarifying in 38.212 when </w:t>
      </w:r>
      <w:r w:rsidR="002D62C1" w:rsidRPr="00632605">
        <w:t>BCCH message type is not MIB.</w:t>
      </w:r>
    </w:p>
    <w:p w14:paraId="7D35A59E" w14:textId="3A7AF864" w:rsidR="007F4ED0" w:rsidRDefault="007F4ED0" w:rsidP="007F4ED0">
      <w:pPr>
        <w:rPr>
          <w:color w:val="D0CECE" w:themeColor="background2" w:themeShade="E6"/>
        </w:rPr>
      </w:pPr>
      <w:r w:rsidRPr="00632605">
        <w:rPr>
          <w:b/>
        </w:rPr>
        <w:t xml:space="preserve">Feature lead comment: </w:t>
      </w:r>
      <w:r w:rsidRPr="00632605">
        <w:t>Discuss further during the week, checking with RAN2 their intentions and include any backwards compatibility issues.</w:t>
      </w:r>
      <w:r w:rsidRPr="00632605">
        <w:rPr>
          <w:color w:val="D0CECE" w:themeColor="background2" w:themeShade="E6"/>
        </w:rPr>
        <w:t xml:space="preserve"> </w:t>
      </w:r>
    </w:p>
    <w:p w14:paraId="1A97E4F4" w14:textId="497AA7C5" w:rsidR="00632605" w:rsidRPr="00632605" w:rsidRDefault="00632605" w:rsidP="007F4ED0">
      <w:r>
        <w:t>Issue deferred until next time.</w:t>
      </w:r>
    </w:p>
    <w:p w14:paraId="42713912" w14:textId="729C1BA0" w:rsidR="00D6454D" w:rsidRDefault="00D6454D" w:rsidP="00D6454D">
      <w:pPr>
        <w:pStyle w:val="Heading2"/>
      </w:pPr>
      <w:r w:rsidRPr="00D6454D">
        <w:t>RMSI CORESET Configuration with minimum bandwidth 10MHz</w:t>
      </w:r>
    </w:p>
    <w:p w14:paraId="5B00C484" w14:textId="17CC34C7" w:rsidR="00E971A2" w:rsidRPr="00632605" w:rsidRDefault="00D6454D" w:rsidP="00E971A2">
      <w:pPr>
        <w:rPr>
          <w:color w:val="D0CECE" w:themeColor="background2" w:themeShade="E6"/>
        </w:rPr>
      </w:pPr>
      <w:r w:rsidRPr="00632605">
        <w:rPr>
          <w:color w:val="D0CECE" w:themeColor="background2" w:themeShade="E6"/>
        </w:rPr>
        <w:t xml:space="preserve">LG Electronics suggested including a bit in PBCH to indicate the minimum carrier bandwidth in the band. Alternatively, a </w:t>
      </w:r>
      <w:proofErr w:type="gramStart"/>
      <w:r w:rsidRPr="00632605">
        <w:rPr>
          <w:color w:val="D0CECE" w:themeColor="background2" w:themeShade="E6"/>
        </w:rPr>
        <w:t>5 bit</w:t>
      </w:r>
      <w:proofErr w:type="gramEnd"/>
      <w:r w:rsidRPr="00632605">
        <w:rPr>
          <w:color w:val="D0CECE" w:themeColor="background2" w:themeShade="E6"/>
        </w:rPr>
        <w:t xml:space="preserve"> RMSI CORESET configuration table can be considered.</w:t>
      </w:r>
    </w:p>
    <w:p w14:paraId="72438E64" w14:textId="369A43AB" w:rsidR="00D6454D" w:rsidRPr="00632605" w:rsidRDefault="00D6454D" w:rsidP="00E971A2">
      <w:pPr>
        <w:rPr>
          <w:color w:val="D0CECE" w:themeColor="background2" w:themeShade="E6"/>
        </w:rPr>
      </w:pPr>
      <w:r w:rsidRPr="00632605">
        <w:rPr>
          <w:color w:val="D0CECE" w:themeColor="background2" w:themeShade="E6"/>
        </w:rPr>
        <w:t xml:space="preserve">This topic can be discussed in the general discussion on 10 MHz minimum bandwidth in agenda item 7.1.1.2.2. </w:t>
      </w:r>
    </w:p>
    <w:p w14:paraId="5722C040" w14:textId="6F5CB802" w:rsidR="004A09EC" w:rsidRDefault="004A09EC" w:rsidP="004A09EC">
      <w:pPr>
        <w:pStyle w:val="Heading2"/>
      </w:pPr>
      <w:r w:rsidRPr="004A09EC">
        <w:t>Closest Second SS/PBCH Block</w:t>
      </w:r>
    </w:p>
    <w:p w14:paraId="530C21DC" w14:textId="4CCA58E1" w:rsidR="004A09EC" w:rsidRPr="00976F10" w:rsidRDefault="004A09EC" w:rsidP="004A09EC">
      <w:pPr>
        <w:rPr>
          <w:color w:val="E7E6E6" w:themeColor="background2"/>
        </w:rPr>
      </w:pPr>
      <w:proofErr w:type="spellStart"/>
      <w:r w:rsidRPr="00976F10">
        <w:rPr>
          <w:color w:val="E7E6E6" w:themeColor="background2"/>
        </w:rPr>
        <w:t>InterDigital</w:t>
      </w:r>
      <w:proofErr w:type="spellEnd"/>
      <w:r w:rsidRPr="00976F10">
        <w:rPr>
          <w:color w:val="E7E6E6" w:themeColor="background2"/>
        </w:rPr>
        <w:t xml:space="preserve"> proposed that </w:t>
      </w:r>
      <w:r w:rsidR="001E1160" w:rsidRPr="00976F10">
        <w:rPr>
          <w:color w:val="E7E6E6" w:themeColor="background2"/>
        </w:rPr>
        <w:t xml:space="preserve">should be possible to indicate </w:t>
      </w:r>
      <w:r w:rsidRPr="00976F10">
        <w:rPr>
          <w:color w:val="E7E6E6" w:themeColor="background2"/>
        </w:rPr>
        <w:t>any SS/PBCH block not only the closest. Hence, they proposed removing the word “closest</w:t>
      </w:r>
      <w:r w:rsidR="001E1160" w:rsidRPr="00976F10">
        <w:rPr>
          <w:color w:val="E7E6E6" w:themeColor="background2"/>
        </w:rPr>
        <w:t>”</w:t>
      </w:r>
      <w:r w:rsidRPr="00976F10">
        <w:rPr>
          <w:color w:val="E7E6E6" w:themeColor="background2"/>
        </w:rPr>
        <w:t xml:space="preserve"> from 38.213</w:t>
      </w:r>
      <w:r w:rsidR="001E1160" w:rsidRPr="00976F10">
        <w:rPr>
          <w:color w:val="E7E6E6" w:themeColor="background2"/>
        </w:rPr>
        <w:t>.</w:t>
      </w:r>
    </w:p>
    <w:p w14:paraId="4CEE9C78" w14:textId="77777777" w:rsidR="00F53427" w:rsidRDefault="00F53427" w:rsidP="00F53427">
      <w:pPr>
        <w:pStyle w:val="Heading1"/>
        <w:numPr>
          <w:ilvl w:val="0"/>
          <w:numId w:val="0"/>
        </w:numPr>
      </w:pPr>
      <w:r>
        <w:t xml:space="preserve">Appendix: </w:t>
      </w:r>
      <w:r w:rsidRPr="001F0FB6">
        <w:t>Contributions used as basis for the summary</w:t>
      </w:r>
    </w:p>
    <w:p w14:paraId="78F579B6" w14:textId="40428441" w:rsidR="00F53427" w:rsidRPr="008259AA" w:rsidRDefault="00F53427" w:rsidP="00F53427">
      <w:pPr>
        <w:pStyle w:val="BodyText"/>
      </w:pPr>
      <w:bookmarkStart w:id="3" w:name="_Hlk511305623"/>
      <w:r w:rsidRPr="008259AA">
        <w:t>Additionally</w:t>
      </w:r>
      <w:r>
        <w:t>,</w:t>
      </w:r>
      <w:r w:rsidRPr="008259AA">
        <w:t xml:space="preserve"> some companies’ views were taken from contributions in AI 7.1.</w:t>
      </w:r>
      <w:r>
        <w:t>1.</w:t>
      </w:r>
      <w:r w:rsidRPr="008259AA">
        <w:t>1</w:t>
      </w:r>
      <w:r>
        <w:t>(</w:t>
      </w:r>
      <w:hyperlink r:id="rId18" w:history="1">
        <w:r w:rsidR="00A26A6D">
          <w:rPr>
            <w:rStyle w:val="Hyperlink"/>
          </w:rPr>
          <w:t>R1-1807607</w:t>
        </w:r>
      </w:hyperlink>
      <w:r>
        <w:t>).</w:t>
      </w:r>
    </w:p>
    <w:bookmarkEnd w:id="3"/>
    <w:p w14:paraId="7C4B3E50" w14:textId="77777777" w:rsidR="00F53427" w:rsidRPr="00631493" w:rsidRDefault="00F53427" w:rsidP="00F53427"/>
    <w:tbl>
      <w:tblPr>
        <w:tblStyle w:val="TableGrid"/>
        <w:tblW w:w="0" w:type="auto"/>
        <w:tblLook w:val="04A0" w:firstRow="1" w:lastRow="0" w:firstColumn="1" w:lastColumn="0" w:noHBand="0" w:noVBand="1"/>
      </w:tblPr>
      <w:tblGrid>
        <w:gridCol w:w="1615"/>
        <w:gridCol w:w="4804"/>
        <w:gridCol w:w="3210"/>
      </w:tblGrid>
      <w:tr w:rsidR="001B29D7" w14:paraId="1C94FB5F" w14:textId="77777777" w:rsidTr="007B64BB">
        <w:tc>
          <w:tcPr>
            <w:tcW w:w="1615" w:type="dxa"/>
          </w:tcPr>
          <w:p w14:paraId="6DA2855C" w14:textId="139B6669" w:rsidR="001B29D7" w:rsidRDefault="003D1F73" w:rsidP="001B29D7">
            <w:hyperlink r:id="rId19" w:history="1">
              <w:r w:rsidR="00A26A6D">
                <w:rPr>
                  <w:rStyle w:val="Hyperlink"/>
                </w:rPr>
                <w:t>R1-1805872</w:t>
              </w:r>
            </w:hyperlink>
          </w:p>
        </w:tc>
        <w:tc>
          <w:tcPr>
            <w:tcW w:w="4804" w:type="dxa"/>
          </w:tcPr>
          <w:p w14:paraId="0EE315D5" w14:textId="4AC06E23" w:rsidR="001B29D7" w:rsidRDefault="001B29D7" w:rsidP="001B29D7">
            <w:r w:rsidRPr="00A94F5C">
              <w:t>Remaining details of NR PBCH design</w:t>
            </w:r>
          </w:p>
        </w:tc>
        <w:tc>
          <w:tcPr>
            <w:tcW w:w="3210" w:type="dxa"/>
          </w:tcPr>
          <w:p w14:paraId="38C94626" w14:textId="77C46A66" w:rsidR="001B29D7" w:rsidRDefault="001B29D7" w:rsidP="001B29D7">
            <w:r w:rsidRPr="00A94F5C">
              <w:t>Huawei, HiSilicon</w:t>
            </w:r>
          </w:p>
        </w:tc>
      </w:tr>
      <w:tr w:rsidR="001B29D7" w14:paraId="7DF8DAE3" w14:textId="77777777" w:rsidTr="007B64BB">
        <w:tc>
          <w:tcPr>
            <w:tcW w:w="1615" w:type="dxa"/>
          </w:tcPr>
          <w:p w14:paraId="1A7C1DA4" w14:textId="7903B7A9" w:rsidR="001B29D7" w:rsidRDefault="003D1F73" w:rsidP="001B29D7">
            <w:hyperlink r:id="rId20" w:history="1">
              <w:r w:rsidR="00A26A6D">
                <w:rPr>
                  <w:rStyle w:val="Hyperlink"/>
                </w:rPr>
                <w:t>R1-1805942</w:t>
              </w:r>
            </w:hyperlink>
          </w:p>
        </w:tc>
        <w:tc>
          <w:tcPr>
            <w:tcW w:w="4804" w:type="dxa"/>
          </w:tcPr>
          <w:p w14:paraId="2689E3E9" w14:textId="38390695" w:rsidR="001B29D7" w:rsidRDefault="001B29D7" w:rsidP="001B29D7">
            <w:r w:rsidRPr="00A94F5C">
              <w:t>Remaining details of NR-PBCH Design</w:t>
            </w:r>
          </w:p>
        </w:tc>
        <w:tc>
          <w:tcPr>
            <w:tcW w:w="3210" w:type="dxa"/>
          </w:tcPr>
          <w:p w14:paraId="12F9387D" w14:textId="688A62E0" w:rsidR="001B29D7" w:rsidRDefault="001B29D7" w:rsidP="001B29D7">
            <w:r w:rsidRPr="00A94F5C">
              <w:t>ZTE</w:t>
            </w:r>
          </w:p>
        </w:tc>
      </w:tr>
      <w:tr w:rsidR="001B29D7" w14:paraId="7E5B0C6E" w14:textId="77777777" w:rsidTr="007B64BB">
        <w:tc>
          <w:tcPr>
            <w:tcW w:w="1615" w:type="dxa"/>
          </w:tcPr>
          <w:p w14:paraId="4EF2419B" w14:textId="6D7862A9" w:rsidR="001B29D7" w:rsidRDefault="003D1F73" w:rsidP="001B29D7">
            <w:hyperlink r:id="rId21" w:history="1">
              <w:r w:rsidR="00A26A6D">
                <w:rPr>
                  <w:rStyle w:val="Hyperlink"/>
                </w:rPr>
                <w:t>R1-1806347</w:t>
              </w:r>
            </w:hyperlink>
          </w:p>
        </w:tc>
        <w:tc>
          <w:tcPr>
            <w:tcW w:w="4804" w:type="dxa"/>
          </w:tcPr>
          <w:p w14:paraId="3ECBBCFD" w14:textId="3D5B7B18" w:rsidR="001B29D7" w:rsidRDefault="001B29D7" w:rsidP="001B29D7">
            <w:r w:rsidRPr="00A94F5C">
              <w:t>Correction on QCL of SS blocks</w:t>
            </w:r>
          </w:p>
        </w:tc>
        <w:tc>
          <w:tcPr>
            <w:tcW w:w="3210" w:type="dxa"/>
          </w:tcPr>
          <w:p w14:paraId="291DFC0B" w14:textId="5D11B7F7" w:rsidR="001B29D7" w:rsidRDefault="001B29D7" w:rsidP="001B29D7">
            <w:r w:rsidRPr="00A94F5C">
              <w:t>Lenovo, Motorola Mobility</w:t>
            </w:r>
          </w:p>
        </w:tc>
      </w:tr>
      <w:tr w:rsidR="001B29D7" w14:paraId="71BFA124" w14:textId="77777777" w:rsidTr="007B64BB">
        <w:tc>
          <w:tcPr>
            <w:tcW w:w="1615" w:type="dxa"/>
          </w:tcPr>
          <w:p w14:paraId="05F8E162" w14:textId="3D77755C" w:rsidR="001B29D7" w:rsidRDefault="003D1F73" w:rsidP="001B29D7">
            <w:hyperlink r:id="rId22" w:history="1">
              <w:r w:rsidR="00A26A6D">
                <w:rPr>
                  <w:rStyle w:val="Hyperlink"/>
                </w:rPr>
                <w:t>R1-1806420</w:t>
              </w:r>
            </w:hyperlink>
          </w:p>
        </w:tc>
        <w:tc>
          <w:tcPr>
            <w:tcW w:w="4804" w:type="dxa"/>
          </w:tcPr>
          <w:p w14:paraId="37EB252C" w14:textId="19C2136E" w:rsidR="001B29D7" w:rsidRDefault="001B29D7" w:rsidP="001B29D7">
            <w:r w:rsidRPr="00A94F5C">
              <w:t>Remaining details of PBCH</w:t>
            </w:r>
          </w:p>
        </w:tc>
        <w:tc>
          <w:tcPr>
            <w:tcW w:w="3210" w:type="dxa"/>
          </w:tcPr>
          <w:p w14:paraId="52FDE824" w14:textId="7C74E62D" w:rsidR="001B29D7" w:rsidRDefault="001B29D7" w:rsidP="001B29D7">
            <w:r w:rsidRPr="00A94F5C">
              <w:t>Ericsson</w:t>
            </w:r>
          </w:p>
        </w:tc>
      </w:tr>
      <w:tr w:rsidR="001B29D7" w14:paraId="77C074B3" w14:textId="77777777" w:rsidTr="007B64BB">
        <w:tc>
          <w:tcPr>
            <w:tcW w:w="1615" w:type="dxa"/>
          </w:tcPr>
          <w:p w14:paraId="5F95C9C7" w14:textId="1CC36E8F" w:rsidR="001B29D7" w:rsidRDefault="003D1F73" w:rsidP="001B29D7">
            <w:hyperlink r:id="rId23" w:history="1">
              <w:r w:rsidR="00A26A6D">
                <w:rPr>
                  <w:rStyle w:val="Hyperlink"/>
                </w:rPr>
                <w:t>R1-1806601</w:t>
              </w:r>
            </w:hyperlink>
          </w:p>
        </w:tc>
        <w:tc>
          <w:tcPr>
            <w:tcW w:w="4804" w:type="dxa"/>
          </w:tcPr>
          <w:p w14:paraId="106AC01F" w14:textId="4FFECC48" w:rsidR="001B29D7" w:rsidRDefault="001B29D7" w:rsidP="001B29D7">
            <w:r w:rsidRPr="00A94F5C">
              <w:t>Remaining Details on PBCH design and contents</w:t>
            </w:r>
          </w:p>
        </w:tc>
        <w:tc>
          <w:tcPr>
            <w:tcW w:w="3210" w:type="dxa"/>
          </w:tcPr>
          <w:p w14:paraId="6A591D28" w14:textId="172F0E15" w:rsidR="001B29D7" w:rsidRDefault="001B29D7" w:rsidP="001B29D7">
            <w:r w:rsidRPr="00A94F5C">
              <w:t>LG Electronics</w:t>
            </w:r>
          </w:p>
        </w:tc>
      </w:tr>
      <w:tr w:rsidR="001B29D7" w14:paraId="3D0A1375" w14:textId="77777777" w:rsidTr="007B64BB">
        <w:tc>
          <w:tcPr>
            <w:tcW w:w="1615" w:type="dxa"/>
          </w:tcPr>
          <w:p w14:paraId="2D49E9D2" w14:textId="47F053A6" w:rsidR="001B29D7" w:rsidRDefault="003D1F73" w:rsidP="001B29D7">
            <w:hyperlink r:id="rId24" w:history="1">
              <w:r w:rsidR="00A26A6D">
                <w:rPr>
                  <w:rStyle w:val="Hyperlink"/>
                </w:rPr>
                <w:t>R1-1806700</w:t>
              </w:r>
            </w:hyperlink>
          </w:p>
        </w:tc>
        <w:tc>
          <w:tcPr>
            <w:tcW w:w="4804" w:type="dxa"/>
          </w:tcPr>
          <w:p w14:paraId="079BDB42" w14:textId="40E91FF0" w:rsidR="001B29D7" w:rsidRDefault="001B29D7" w:rsidP="001B29D7">
            <w:r w:rsidRPr="00A94F5C">
              <w:t>Corrections on NR-PBCH</w:t>
            </w:r>
          </w:p>
        </w:tc>
        <w:tc>
          <w:tcPr>
            <w:tcW w:w="3210" w:type="dxa"/>
          </w:tcPr>
          <w:p w14:paraId="01372EC6" w14:textId="6EA24360" w:rsidR="001B29D7" w:rsidRDefault="001B29D7" w:rsidP="001B29D7">
            <w:r w:rsidRPr="00A94F5C">
              <w:t>Samsung</w:t>
            </w:r>
          </w:p>
        </w:tc>
      </w:tr>
      <w:tr w:rsidR="001B29D7" w14:paraId="60EC0A48" w14:textId="77777777" w:rsidTr="007B64BB">
        <w:tc>
          <w:tcPr>
            <w:tcW w:w="1615" w:type="dxa"/>
          </w:tcPr>
          <w:p w14:paraId="46994BD1" w14:textId="726473EF" w:rsidR="001B29D7" w:rsidRDefault="003D1F73" w:rsidP="001B29D7">
            <w:hyperlink r:id="rId25" w:history="1">
              <w:r w:rsidR="00A26A6D">
                <w:rPr>
                  <w:rStyle w:val="Hyperlink"/>
                </w:rPr>
                <w:t>R1-1806873</w:t>
              </w:r>
            </w:hyperlink>
          </w:p>
        </w:tc>
        <w:tc>
          <w:tcPr>
            <w:tcW w:w="4804" w:type="dxa"/>
          </w:tcPr>
          <w:p w14:paraId="01FE6DD7" w14:textId="0C2C4955" w:rsidR="001B29D7" w:rsidRDefault="001B29D7" w:rsidP="001B29D7">
            <w:r w:rsidRPr="00A94F5C">
              <w:t>Remaining issues on NR-PBCH</w:t>
            </w:r>
          </w:p>
        </w:tc>
        <w:tc>
          <w:tcPr>
            <w:tcW w:w="3210" w:type="dxa"/>
          </w:tcPr>
          <w:p w14:paraId="18C88D93" w14:textId="7029E6AB" w:rsidR="001B29D7" w:rsidRDefault="001B29D7" w:rsidP="001B29D7">
            <w:r w:rsidRPr="00A94F5C">
              <w:t>OPPO</w:t>
            </w:r>
          </w:p>
        </w:tc>
      </w:tr>
      <w:tr w:rsidR="001B29D7" w14:paraId="6715A9F7" w14:textId="77777777" w:rsidTr="007B64BB">
        <w:tc>
          <w:tcPr>
            <w:tcW w:w="1615" w:type="dxa"/>
          </w:tcPr>
          <w:p w14:paraId="5A5360BE" w14:textId="204C0EEA" w:rsidR="001B29D7" w:rsidRDefault="003D1F73" w:rsidP="001B29D7">
            <w:hyperlink r:id="rId26" w:history="1">
              <w:r w:rsidR="00A26A6D">
                <w:rPr>
                  <w:rStyle w:val="Hyperlink"/>
                </w:rPr>
                <w:t>R1-1807009</w:t>
              </w:r>
            </w:hyperlink>
          </w:p>
        </w:tc>
        <w:tc>
          <w:tcPr>
            <w:tcW w:w="4804" w:type="dxa"/>
          </w:tcPr>
          <w:p w14:paraId="4BB34B24" w14:textId="0421854B" w:rsidR="001B29D7" w:rsidRDefault="001B29D7" w:rsidP="001B29D7">
            <w:r w:rsidRPr="00A94F5C">
              <w:t xml:space="preserve">On Remaining Details of NR Physical Broadcast Signal and Channel </w:t>
            </w:r>
          </w:p>
        </w:tc>
        <w:tc>
          <w:tcPr>
            <w:tcW w:w="3210" w:type="dxa"/>
          </w:tcPr>
          <w:p w14:paraId="3856700E" w14:textId="37E094AF" w:rsidR="001B29D7" w:rsidRDefault="001B29D7" w:rsidP="001B29D7">
            <w:proofErr w:type="spellStart"/>
            <w:r w:rsidRPr="00A94F5C">
              <w:t>InterDigital</w:t>
            </w:r>
            <w:proofErr w:type="spellEnd"/>
            <w:r w:rsidRPr="00A94F5C">
              <w:t>, Inc.</w:t>
            </w:r>
          </w:p>
        </w:tc>
      </w:tr>
      <w:tr w:rsidR="001B29D7" w14:paraId="78BAC205" w14:textId="77777777" w:rsidTr="007B64BB">
        <w:tc>
          <w:tcPr>
            <w:tcW w:w="1615" w:type="dxa"/>
          </w:tcPr>
          <w:p w14:paraId="4526639D" w14:textId="7CC6DFA4" w:rsidR="001B29D7" w:rsidRDefault="003D1F73" w:rsidP="001B29D7">
            <w:hyperlink r:id="rId27" w:history="1">
              <w:r w:rsidR="00A26A6D">
                <w:rPr>
                  <w:rStyle w:val="Hyperlink"/>
                </w:rPr>
                <w:t>R1-1807050</w:t>
              </w:r>
            </w:hyperlink>
          </w:p>
        </w:tc>
        <w:tc>
          <w:tcPr>
            <w:tcW w:w="4804" w:type="dxa"/>
          </w:tcPr>
          <w:p w14:paraId="6CC853AD" w14:textId="5AD5C989" w:rsidR="001B29D7" w:rsidRDefault="001B29D7" w:rsidP="001B29D7">
            <w:r w:rsidRPr="00A94F5C">
              <w:t>Remaining issues on NR-PBCH</w:t>
            </w:r>
          </w:p>
        </w:tc>
        <w:tc>
          <w:tcPr>
            <w:tcW w:w="3210" w:type="dxa"/>
          </w:tcPr>
          <w:p w14:paraId="5C3F054A" w14:textId="0AEFA912" w:rsidR="001B29D7" w:rsidRDefault="001B29D7" w:rsidP="001B29D7">
            <w:r w:rsidRPr="00A94F5C">
              <w:t>NTT DOCOMO, INC.</w:t>
            </w:r>
          </w:p>
        </w:tc>
      </w:tr>
      <w:tr w:rsidR="001B29D7" w14:paraId="376E16FE" w14:textId="77777777" w:rsidTr="007B64BB">
        <w:tc>
          <w:tcPr>
            <w:tcW w:w="1615" w:type="dxa"/>
          </w:tcPr>
          <w:p w14:paraId="2FB2275D" w14:textId="614DE159" w:rsidR="001B29D7" w:rsidRDefault="003D1F73" w:rsidP="001B29D7">
            <w:hyperlink r:id="rId28" w:history="1">
              <w:r w:rsidR="00A26A6D">
                <w:rPr>
                  <w:rStyle w:val="Hyperlink"/>
                </w:rPr>
                <w:t>R1-1807171</w:t>
              </w:r>
            </w:hyperlink>
          </w:p>
        </w:tc>
        <w:tc>
          <w:tcPr>
            <w:tcW w:w="4804" w:type="dxa"/>
          </w:tcPr>
          <w:p w14:paraId="609CE3D7" w14:textId="5A118E96" w:rsidR="001B29D7" w:rsidRDefault="001B29D7" w:rsidP="001B29D7">
            <w:r w:rsidRPr="00A94F5C">
              <w:t>Remaining details related to SS/PBCH block</w:t>
            </w:r>
          </w:p>
        </w:tc>
        <w:tc>
          <w:tcPr>
            <w:tcW w:w="3210" w:type="dxa"/>
          </w:tcPr>
          <w:p w14:paraId="7DDD8CC3" w14:textId="54DD525C" w:rsidR="001B29D7" w:rsidRDefault="001B29D7" w:rsidP="001B29D7">
            <w:r w:rsidRPr="00A94F5C">
              <w:t>Nokia, Nokia Shanghai Bell</w:t>
            </w:r>
          </w:p>
        </w:tc>
      </w:tr>
      <w:tr w:rsidR="001B29D7" w14:paraId="0A2D197B" w14:textId="77777777" w:rsidTr="007B64BB">
        <w:tc>
          <w:tcPr>
            <w:tcW w:w="1615" w:type="dxa"/>
          </w:tcPr>
          <w:p w14:paraId="1574D562" w14:textId="3A2536E0" w:rsidR="001B29D7" w:rsidRDefault="003D1F73" w:rsidP="001B29D7">
            <w:hyperlink r:id="rId29" w:history="1">
              <w:r w:rsidR="00A26A6D">
                <w:rPr>
                  <w:rStyle w:val="Hyperlink"/>
                </w:rPr>
                <w:t>R1-1807329</w:t>
              </w:r>
            </w:hyperlink>
          </w:p>
        </w:tc>
        <w:tc>
          <w:tcPr>
            <w:tcW w:w="4804" w:type="dxa"/>
          </w:tcPr>
          <w:p w14:paraId="3E2AD28A" w14:textId="3544A902" w:rsidR="001B29D7" w:rsidRDefault="001B29D7" w:rsidP="001B29D7">
            <w:r w:rsidRPr="00A94F5C">
              <w:t>Remaining details on NR-PBCH</w:t>
            </w:r>
          </w:p>
        </w:tc>
        <w:tc>
          <w:tcPr>
            <w:tcW w:w="3210" w:type="dxa"/>
          </w:tcPr>
          <w:p w14:paraId="0BDBCBFB" w14:textId="7A5B2C74" w:rsidR="001B29D7" w:rsidRDefault="001B29D7" w:rsidP="001B29D7">
            <w:r w:rsidRPr="00A94F5C">
              <w:t>Qualcomm Incorporated</w:t>
            </w:r>
          </w:p>
        </w:tc>
      </w:tr>
    </w:tbl>
    <w:p w14:paraId="6A0144FE" w14:textId="584A5C63" w:rsidR="00F53427" w:rsidRDefault="00F53427" w:rsidP="00F53427"/>
    <w:p w14:paraId="37C723BF" w14:textId="77777777" w:rsidR="001B29D7" w:rsidRPr="001F0FB6" w:rsidRDefault="001B29D7" w:rsidP="00F53427"/>
    <w:p w14:paraId="151ED4F9" w14:textId="77777777" w:rsidR="00F53427" w:rsidRPr="00F53427" w:rsidRDefault="00F53427" w:rsidP="00F53427"/>
    <w:sectPr w:rsidR="00F53427" w:rsidRPr="00F53427">
      <w:headerReference w:type="even" r:id="rId30"/>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E55AA" w14:textId="77777777" w:rsidR="003D1F73" w:rsidRDefault="003D1F73">
      <w:r>
        <w:separator/>
      </w:r>
    </w:p>
  </w:endnote>
  <w:endnote w:type="continuationSeparator" w:id="0">
    <w:p w14:paraId="6B5AD3E1" w14:textId="77777777" w:rsidR="003D1F73" w:rsidRDefault="003D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578B1F88" w:rsidR="007B64BB" w:rsidRDefault="007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6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65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3BF7D" w14:textId="77777777" w:rsidR="003D1F73" w:rsidRDefault="003D1F73">
      <w:r>
        <w:separator/>
      </w:r>
    </w:p>
  </w:footnote>
  <w:footnote w:type="continuationSeparator" w:id="0">
    <w:p w14:paraId="4C2D0067" w14:textId="77777777" w:rsidR="003D1F73" w:rsidRDefault="003D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7B64BB" w:rsidRDefault="007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4C63CA"/>
    <w:multiLevelType w:val="hybridMultilevel"/>
    <w:tmpl w:val="261C56D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94E8B"/>
    <w:multiLevelType w:val="hybridMultilevel"/>
    <w:tmpl w:val="601CA1D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E557D"/>
    <w:multiLevelType w:val="hybridMultilevel"/>
    <w:tmpl w:val="A5401D7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05186"/>
    <w:multiLevelType w:val="hybridMultilevel"/>
    <w:tmpl w:val="968E5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950668"/>
    <w:multiLevelType w:val="hybridMultilevel"/>
    <w:tmpl w:val="C72A44A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6"/>
  </w:num>
  <w:num w:numId="15">
    <w:abstractNumId w:val="4"/>
  </w:num>
  <w:num w:numId="16">
    <w:abstractNumId w:val="10"/>
  </w:num>
  <w:num w:numId="17">
    <w:abstractNumId w:val="5"/>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A37"/>
    <w:rsid w:val="00002C7D"/>
    <w:rsid w:val="00006446"/>
    <w:rsid w:val="00006896"/>
    <w:rsid w:val="00007CDC"/>
    <w:rsid w:val="00011B28"/>
    <w:rsid w:val="00014204"/>
    <w:rsid w:val="00015D15"/>
    <w:rsid w:val="000178CB"/>
    <w:rsid w:val="0002564D"/>
    <w:rsid w:val="00025ECA"/>
    <w:rsid w:val="000306DF"/>
    <w:rsid w:val="000325B8"/>
    <w:rsid w:val="00034C15"/>
    <w:rsid w:val="00036BA1"/>
    <w:rsid w:val="000422E2"/>
    <w:rsid w:val="00042F22"/>
    <w:rsid w:val="000444EF"/>
    <w:rsid w:val="00052A07"/>
    <w:rsid w:val="000534E3"/>
    <w:rsid w:val="0005606A"/>
    <w:rsid w:val="00057117"/>
    <w:rsid w:val="00061194"/>
    <w:rsid w:val="000616E7"/>
    <w:rsid w:val="0006487E"/>
    <w:rsid w:val="00065E1A"/>
    <w:rsid w:val="00077E5F"/>
    <w:rsid w:val="0008036A"/>
    <w:rsid w:val="00081AE6"/>
    <w:rsid w:val="00083F28"/>
    <w:rsid w:val="000855EB"/>
    <w:rsid w:val="00085B52"/>
    <w:rsid w:val="000866F2"/>
    <w:rsid w:val="0009009F"/>
    <w:rsid w:val="00091557"/>
    <w:rsid w:val="000924C1"/>
    <w:rsid w:val="000924F0"/>
    <w:rsid w:val="00093474"/>
    <w:rsid w:val="0009510F"/>
    <w:rsid w:val="000A1B7B"/>
    <w:rsid w:val="000A56F2"/>
    <w:rsid w:val="000B2719"/>
    <w:rsid w:val="000B3A8F"/>
    <w:rsid w:val="000B42C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789"/>
    <w:rsid w:val="001062FB"/>
    <w:rsid w:val="001063E6"/>
    <w:rsid w:val="00113CF4"/>
    <w:rsid w:val="001153EA"/>
    <w:rsid w:val="00115643"/>
    <w:rsid w:val="00116765"/>
    <w:rsid w:val="0011688A"/>
    <w:rsid w:val="001219F5"/>
    <w:rsid w:val="00121A20"/>
    <w:rsid w:val="0012377F"/>
    <w:rsid w:val="00124314"/>
    <w:rsid w:val="00124EC9"/>
    <w:rsid w:val="00126B4A"/>
    <w:rsid w:val="00132FD0"/>
    <w:rsid w:val="001344C0"/>
    <w:rsid w:val="001346FA"/>
    <w:rsid w:val="00135252"/>
    <w:rsid w:val="00137AB5"/>
    <w:rsid w:val="00137F0B"/>
    <w:rsid w:val="00151E23"/>
    <w:rsid w:val="00152343"/>
    <w:rsid w:val="001526E0"/>
    <w:rsid w:val="001551B5"/>
    <w:rsid w:val="001659C1"/>
    <w:rsid w:val="00173A8E"/>
    <w:rsid w:val="0018143F"/>
    <w:rsid w:val="00190AC1"/>
    <w:rsid w:val="0019341A"/>
    <w:rsid w:val="00197DF9"/>
    <w:rsid w:val="001A1987"/>
    <w:rsid w:val="001A2564"/>
    <w:rsid w:val="001A6173"/>
    <w:rsid w:val="001A6CBA"/>
    <w:rsid w:val="001B0D97"/>
    <w:rsid w:val="001B29D7"/>
    <w:rsid w:val="001B5A5D"/>
    <w:rsid w:val="001C1CE5"/>
    <w:rsid w:val="001C3D2A"/>
    <w:rsid w:val="001D51BA"/>
    <w:rsid w:val="001D6342"/>
    <w:rsid w:val="001D6D53"/>
    <w:rsid w:val="001E11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E0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2C1"/>
    <w:rsid w:val="002D7637"/>
    <w:rsid w:val="002E17F2"/>
    <w:rsid w:val="002E595F"/>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1651"/>
    <w:rsid w:val="00370E47"/>
    <w:rsid w:val="003742AC"/>
    <w:rsid w:val="00377CE1"/>
    <w:rsid w:val="00385BF0"/>
    <w:rsid w:val="003939FF"/>
    <w:rsid w:val="00393B6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F73"/>
    <w:rsid w:val="003D2478"/>
    <w:rsid w:val="003D3C45"/>
    <w:rsid w:val="003D5B1F"/>
    <w:rsid w:val="003E15FA"/>
    <w:rsid w:val="003E55E4"/>
    <w:rsid w:val="003E74E3"/>
    <w:rsid w:val="003F05C7"/>
    <w:rsid w:val="003F2CD4"/>
    <w:rsid w:val="003F6BBE"/>
    <w:rsid w:val="004000E8"/>
    <w:rsid w:val="00402E2B"/>
    <w:rsid w:val="00403F2E"/>
    <w:rsid w:val="0040512B"/>
    <w:rsid w:val="00405CA5"/>
    <w:rsid w:val="00407CD3"/>
    <w:rsid w:val="00410134"/>
    <w:rsid w:val="00410B72"/>
    <w:rsid w:val="00410F18"/>
    <w:rsid w:val="0041263E"/>
    <w:rsid w:val="00413AAC"/>
    <w:rsid w:val="00413E92"/>
    <w:rsid w:val="00421105"/>
    <w:rsid w:val="00422F58"/>
    <w:rsid w:val="004242F4"/>
    <w:rsid w:val="00427248"/>
    <w:rsid w:val="00437447"/>
    <w:rsid w:val="00441A92"/>
    <w:rsid w:val="00444F56"/>
    <w:rsid w:val="00446488"/>
    <w:rsid w:val="004517AA"/>
    <w:rsid w:val="00452BFD"/>
    <w:rsid w:val="00452CAC"/>
    <w:rsid w:val="00457565"/>
    <w:rsid w:val="00457B71"/>
    <w:rsid w:val="004669E2"/>
    <w:rsid w:val="00470C31"/>
    <w:rsid w:val="004734D0"/>
    <w:rsid w:val="0047556B"/>
    <w:rsid w:val="00477768"/>
    <w:rsid w:val="00492BC5"/>
    <w:rsid w:val="004964F1"/>
    <w:rsid w:val="004A09EC"/>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7C2"/>
    <w:rsid w:val="00572505"/>
    <w:rsid w:val="00582809"/>
    <w:rsid w:val="0058798C"/>
    <w:rsid w:val="005900FA"/>
    <w:rsid w:val="005935A4"/>
    <w:rsid w:val="005948C2"/>
    <w:rsid w:val="00595DCA"/>
    <w:rsid w:val="0059779B"/>
    <w:rsid w:val="005A209A"/>
    <w:rsid w:val="005A662D"/>
    <w:rsid w:val="005B0CF7"/>
    <w:rsid w:val="005B35D7"/>
    <w:rsid w:val="005B392A"/>
    <w:rsid w:val="005B3AA3"/>
    <w:rsid w:val="005B6F83"/>
    <w:rsid w:val="005C049A"/>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605"/>
    <w:rsid w:val="0063284C"/>
    <w:rsid w:val="006345B5"/>
    <w:rsid w:val="00636398"/>
    <w:rsid w:val="006368D3"/>
    <w:rsid w:val="006377EC"/>
    <w:rsid w:val="006402F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A47"/>
    <w:rsid w:val="00681003"/>
    <w:rsid w:val="006817C9"/>
    <w:rsid w:val="00683ECE"/>
    <w:rsid w:val="00695CB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4A2B"/>
    <w:rsid w:val="00715B9A"/>
    <w:rsid w:val="00726EA6"/>
    <w:rsid w:val="00727208"/>
    <w:rsid w:val="00727680"/>
    <w:rsid w:val="007348B1"/>
    <w:rsid w:val="00735EDF"/>
    <w:rsid w:val="007362A6"/>
    <w:rsid w:val="00736D7D"/>
    <w:rsid w:val="00740E58"/>
    <w:rsid w:val="007445A0"/>
    <w:rsid w:val="0074524B"/>
    <w:rsid w:val="00747D8B"/>
    <w:rsid w:val="00751228"/>
    <w:rsid w:val="007571E1"/>
    <w:rsid w:val="007604B2"/>
    <w:rsid w:val="00762E84"/>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BCC"/>
    <w:rsid w:val="007B50AE"/>
    <w:rsid w:val="007B51DF"/>
    <w:rsid w:val="007B64BB"/>
    <w:rsid w:val="007C05DD"/>
    <w:rsid w:val="007C3D18"/>
    <w:rsid w:val="007C60BF"/>
    <w:rsid w:val="007C6A07"/>
    <w:rsid w:val="007C75A1"/>
    <w:rsid w:val="007C77A5"/>
    <w:rsid w:val="007D04E5"/>
    <w:rsid w:val="007D5901"/>
    <w:rsid w:val="007D7526"/>
    <w:rsid w:val="007E4610"/>
    <w:rsid w:val="007E4715"/>
    <w:rsid w:val="007E505B"/>
    <w:rsid w:val="007E5F01"/>
    <w:rsid w:val="007E7091"/>
    <w:rsid w:val="007F4ED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63"/>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4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6F10"/>
    <w:rsid w:val="00980477"/>
    <w:rsid w:val="00985253"/>
    <w:rsid w:val="009853B3"/>
    <w:rsid w:val="00990630"/>
    <w:rsid w:val="00991761"/>
    <w:rsid w:val="00994DCA"/>
    <w:rsid w:val="009960EC"/>
    <w:rsid w:val="009970DD"/>
    <w:rsid w:val="00997E71"/>
    <w:rsid w:val="009A0FBA"/>
    <w:rsid w:val="009A1601"/>
    <w:rsid w:val="009A462D"/>
    <w:rsid w:val="009A5CBA"/>
    <w:rsid w:val="009B1F30"/>
    <w:rsid w:val="009B3AC2"/>
    <w:rsid w:val="009B4DF4"/>
    <w:rsid w:val="009B564E"/>
    <w:rsid w:val="009B6E42"/>
    <w:rsid w:val="009B701A"/>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A6D"/>
    <w:rsid w:val="00A27785"/>
    <w:rsid w:val="00A30187"/>
    <w:rsid w:val="00A3448A"/>
    <w:rsid w:val="00A36297"/>
    <w:rsid w:val="00A41E2B"/>
    <w:rsid w:val="00A45B74"/>
    <w:rsid w:val="00A52E1D"/>
    <w:rsid w:val="00A61499"/>
    <w:rsid w:val="00A62A77"/>
    <w:rsid w:val="00A63483"/>
    <w:rsid w:val="00A657D7"/>
    <w:rsid w:val="00A660AC"/>
    <w:rsid w:val="00A67E6C"/>
    <w:rsid w:val="00A71AAE"/>
    <w:rsid w:val="00A71B99"/>
    <w:rsid w:val="00A739D0"/>
    <w:rsid w:val="00A761D4"/>
    <w:rsid w:val="00A77EC4"/>
    <w:rsid w:val="00A92879"/>
    <w:rsid w:val="00A9442A"/>
    <w:rsid w:val="00AA016F"/>
    <w:rsid w:val="00AA1ED6"/>
    <w:rsid w:val="00AA51D6"/>
    <w:rsid w:val="00AA7F38"/>
    <w:rsid w:val="00AB0BC8"/>
    <w:rsid w:val="00AB11CA"/>
    <w:rsid w:val="00AB14D9"/>
    <w:rsid w:val="00AB4AB8"/>
    <w:rsid w:val="00AB655E"/>
    <w:rsid w:val="00AC007F"/>
    <w:rsid w:val="00AC2ECD"/>
    <w:rsid w:val="00AC3119"/>
    <w:rsid w:val="00AC49FB"/>
    <w:rsid w:val="00AC5A10"/>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7D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FD0"/>
    <w:rsid w:val="00BC4D2E"/>
    <w:rsid w:val="00BD48AC"/>
    <w:rsid w:val="00BD5F1A"/>
    <w:rsid w:val="00BE1234"/>
    <w:rsid w:val="00BE2FA6"/>
    <w:rsid w:val="00BE333F"/>
    <w:rsid w:val="00BE7406"/>
    <w:rsid w:val="00BE7603"/>
    <w:rsid w:val="00BF3279"/>
    <w:rsid w:val="00BF44FE"/>
    <w:rsid w:val="00BF74C7"/>
    <w:rsid w:val="00C015F1"/>
    <w:rsid w:val="00C01F33"/>
    <w:rsid w:val="00C02CC6"/>
    <w:rsid w:val="00C040F7"/>
    <w:rsid w:val="00C044AB"/>
    <w:rsid w:val="00C05706"/>
    <w:rsid w:val="00C07377"/>
    <w:rsid w:val="00C10478"/>
    <w:rsid w:val="00C12107"/>
    <w:rsid w:val="00C14D4B"/>
    <w:rsid w:val="00C154BB"/>
    <w:rsid w:val="00C24B77"/>
    <w:rsid w:val="00C279B5"/>
    <w:rsid w:val="00C27C45"/>
    <w:rsid w:val="00C3719D"/>
    <w:rsid w:val="00C54995"/>
    <w:rsid w:val="00C54D41"/>
    <w:rsid w:val="00C60783"/>
    <w:rsid w:val="00C64672"/>
    <w:rsid w:val="00C70697"/>
    <w:rsid w:val="00C72EF4"/>
    <w:rsid w:val="00C75D2F"/>
    <w:rsid w:val="00C7664B"/>
    <w:rsid w:val="00C767BE"/>
    <w:rsid w:val="00C76E3C"/>
    <w:rsid w:val="00C81223"/>
    <w:rsid w:val="00C81568"/>
    <w:rsid w:val="00C82B5A"/>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54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BEB"/>
    <w:rsid w:val="00DC2D36"/>
    <w:rsid w:val="00DC53EF"/>
    <w:rsid w:val="00DD4795"/>
    <w:rsid w:val="00DE5608"/>
    <w:rsid w:val="00DE58D0"/>
    <w:rsid w:val="00DE654F"/>
    <w:rsid w:val="00DF0B6E"/>
    <w:rsid w:val="00DF15E0"/>
    <w:rsid w:val="00DF37A0"/>
    <w:rsid w:val="00E10B44"/>
    <w:rsid w:val="00E110E7"/>
    <w:rsid w:val="00E11B20"/>
    <w:rsid w:val="00E17FA2"/>
    <w:rsid w:val="00E22330"/>
    <w:rsid w:val="00E30B5A"/>
    <w:rsid w:val="00E3123D"/>
    <w:rsid w:val="00E31461"/>
    <w:rsid w:val="00E31D43"/>
    <w:rsid w:val="00E32608"/>
    <w:rsid w:val="00E34188"/>
    <w:rsid w:val="00E34B6E"/>
    <w:rsid w:val="00E35559"/>
    <w:rsid w:val="00E364E5"/>
    <w:rsid w:val="00E3723A"/>
    <w:rsid w:val="00E37860"/>
    <w:rsid w:val="00E4168E"/>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1A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FEF"/>
    <w:rsid w:val="00F4766C"/>
    <w:rsid w:val="00F5060E"/>
    <w:rsid w:val="00F507D1"/>
    <w:rsid w:val="00F519CE"/>
    <w:rsid w:val="00F51ADA"/>
    <w:rsid w:val="00F5342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4E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364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364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364E5"/>
    <w:pPr>
      <w:numPr>
        <w:ilvl w:val="2"/>
      </w:numPr>
      <w:spacing w:before="120"/>
      <w:outlineLvl w:val="2"/>
    </w:pPr>
    <w:rPr>
      <w:sz w:val="28"/>
      <w:szCs w:val="28"/>
    </w:rPr>
  </w:style>
  <w:style w:type="paragraph" w:styleId="Heading4">
    <w:name w:val="heading 4"/>
    <w:basedOn w:val="Heading3"/>
    <w:next w:val="Normal"/>
    <w:qFormat/>
    <w:rsid w:val="00E364E5"/>
    <w:pPr>
      <w:numPr>
        <w:ilvl w:val="3"/>
      </w:numPr>
      <w:outlineLvl w:val="3"/>
    </w:pPr>
    <w:rPr>
      <w:sz w:val="24"/>
      <w:szCs w:val="24"/>
    </w:rPr>
  </w:style>
  <w:style w:type="paragraph" w:styleId="Heading5">
    <w:name w:val="heading 5"/>
    <w:basedOn w:val="Heading4"/>
    <w:next w:val="Normal"/>
    <w:qFormat/>
    <w:rsid w:val="00E364E5"/>
    <w:pPr>
      <w:numPr>
        <w:ilvl w:val="4"/>
      </w:numPr>
      <w:outlineLvl w:val="4"/>
    </w:pPr>
    <w:rPr>
      <w:sz w:val="22"/>
      <w:szCs w:val="22"/>
    </w:rPr>
  </w:style>
  <w:style w:type="paragraph" w:styleId="Heading6">
    <w:name w:val="heading 6"/>
    <w:basedOn w:val="Normal"/>
    <w:next w:val="Normal"/>
    <w:qFormat/>
    <w:rsid w:val="00E364E5"/>
    <w:pPr>
      <w:keepNext/>
      <w:keepLines/>
      <w:numPr>
        <w:ilvl w:val="5"/>
        <w:numId w:val="1"/>
      </w:numPr>
      <w:spacing w:before="120"/>
      <w:outlineLvl w:val="5"/>
    </w:pPr>
    <w:rPr>
      <w:rFonts w:cs="Arial"/>
    </w:rPr>
  </w:style>
  <w:style w:type="paragraph" w:styleId="Heading7">
    <w:name w:val="heading 7"/>
    <w:basedOn w:val="Normal"/>
    <w:next w:val="Normal"/>
    <w:qFormat/>
    <w:rsid w:val="00E364E5"/>
    <w:pPr>
      <w:keepNext/>
      <w:keepLines/>
      <w:numPr>
        <w:ilvl w:val="6"/>
        <w:numId w:val="1"/>
      </w:numPr>
      <w:spacing w:before="120"/>
      <w:outlineLvl w:val="6"/>
    </w:pPr>
    <w:rPr>
      <w:rFonts w:cs="Arial"/>
    </w:rPr>
  </w:style>
  <w:style w:type="paragraph" w:styleId="Heading8">
    <w:name w:val="heading 8"/>
    <w:basedOn w:val="Heading7"/>
    <w:next w:val="Normal"/>
    <w:qFormat/>
    <w:rsid w:val="00E364E5"/>
    <w:pPr>
      <w:numPr>
        <w:ilvl w:val="7"/>
      </w:numPr>
      <w:outlineLvl w:val="7"/>
    </w:pPr>
  </w:style>
  <w:style w:type="paragraph" w:styleId="Heading9">
    <w:name w:val="heading 9"/>
    <w:basedOn w:val="Heading8"/>
    <w:next w:val="Normal"/>
    <w:qFormat/>
    <w:rsid w:val="00E364E5"/>
    <w:pPr>
      <w:numPr>
        <w:ilvl w:val="8"/>
      </w:numPr>
      <w:outlineLvl w:val="8"/>
    </w:pPr>
  </w:style>
  <w:style w:type="character" w:default="1" w:styleId="DefaultParagraphFont">
    <w:name w:val="Default Paragraph Font"/>
    <w:uiPriority w:val="1"/>
    <w:semiHidden/>
    <w:unhideWhenUsed/>
    <w:rsid w:val="00E36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4E5"/>
  </w:style>
  <w:style w:type="paragraph" w:styleId="TOC8">
    <w:name w:val="toc 8"/>
    <w:basedOn w:val="TOC1"/>
    <w:semiHidden/>
    <w:rsid w:val="00E364E5"/>
    <w:pPr>
      <w:spacing w:before="180"/>
      <w:ind w:left="2693" w:hanging="2693"/>
    </w:pPr>
    <w:rPr>
      <w:b w:val="0"/>
      <w:bCs/>
    </w:rPr>
  </w:style>
  <w:style w:type="paragraph" w:styleId="TOC1">
    <w:name w:val="toc 1"/>
    <w:aliases w:val="Observation TOC2"/>
    <w:uiPriority w:val="39"/>
    <w:rsid w:val="00E364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364E5"/>
    <w:pPr>
      <w:keepNext/>
      <w:keepLines/>
      <w:spacing w:before="180"/>
      <w:jc w:val="center"/>
    </w:pPr>
  </w:style>
  <w:style w:type="paragraph" w:styleId="Caption">
    <w:name w:val="caption"/>
    <w:basedOn w:val="Normal"/>
    <w:next w:val="Normal"/>
    <w:qFormat/>
    <w:rsid w:val="00E364E5"/>
    <w:pPr>
      <w:spacing w:after="240"/>
      <w:jc w:val="center"/>
    </w:pPr>
    <w:rPr>
      <w:b/>
      <w:bCs/>
    </w:rPr>
  </w:style>
  <w:style w:type="paragraph" w:styleId="TOC5">
    <w:name w:val="toc 5"/>
    <w:aliases w:val="Observation TOC"/>
    <w:basedOn w:val="TOC4"/>
    <w:semiHidden/>
    <w:rsid w:val="00E364E5"/>
    <w:pPr>
      <w:tabs>
        <w:tab w:val="right" w:pos="1701"/>
      </w:tabs>
      <w:ind w:left="1701" w:hanging="1701"/>
    </w:pPr>
  </w:style>
  <w:style w:type="paragraph" w:styleId="TOC4">
    <w:name w:val="toc 4"/>
    <w:basedOn w:val="TOC3"/>
    <w:semiHidden/>
    <w:rsid w:val="00E364E5"/>
    <w:pPr>
      <w:ind w:left="1418" w:hanging="1418"/>
    </w:pPr>
  </w:style>
  <w:style w:type="paragraph" w:styleId="TOC3">
    <w:name w:val="toc 3"/>
    <w:basedOn w:val="TOC2"/>
    <w:semiHidden/>
    <w:rsid w:val="00E364E5"/>
    <w:pPr>
      <w:ind w:left="1134" w:hanging="1134"/>
    </w:pPr>
  </w:style>
  <w:style w:type="paragraph" w:styleId="TOC2">
    <w:name w:val="toc 2"/>
    <w:basedOn w:val="TOC1"/>
    <w:semiHidden/>
    <w:rsid w:val="00E364E5"/>
    <w:pPr>
      <w:keepNext w:val="0"/>
      <w:spacing w:before="0"/>
      <w:ind w:left="851" w:hanging="851"/>
    </w:pPr>
    <w:rPr>
      <w:szCs w:val="20"/>
    </w:rPr>
  </w:style>
  <w:style w:type="paragraph" w:styleId="Index2">
    <w:name w:val="index 2"/>
    <w:basedOn w:val="Index1"/>
    <w:semiHidden/>
    <w:rsid w:val="00E364E5"/>
    <w:pPr>
      <w:ind w:left="284"/>
    </w:pPr>
  </w:style>
  <w:style w:type="paragraph" w:styleId="Index1">
    <w:name w:val="index 1"/>
    <w:basedOn w:val="Normal"/>
    <w:semiHidden/>
    <w:rsid w:val="00E364E5"/>
    <w:pPr>
      <w:keepLines/>
      <w:spacing w:after="0"/>
    </w:pPr>
  </w:style>
  <w:style w:type="paragraph" w:styleId="DocumentMap">
    <w:name w:val="Document Map"/>
    <w:basedOn w:val="Normal"/>
    <w:semiHidden/>
    <w:rsid w:val="00E364E5"/>
    <w:pPr>
      <w:shd w:val="clear" w:color="auto" w:fill="000080"/>
    </w:pPr>
    <w:rPr>
      <w:rFonts w:ascii="Tahoma" w:hAnsi="Tahoma" w:cs="Tahoma"/>
    </w:rPr>
  </w:style>
  <w:style w:type="paragraph" w:styleId="ListNumber2">
    <w:name w:val="List Number 2"/>
    <w:basedOn w:val="ListNumber"/>
    <w:rsid w:val="00E364E5"/>
    <w:pPr>
      <w:ind w:left="851"/>
    </w:pPr>
  </w:style>
  <w:style w:type="paragraph" w:styleId="ListNumber">
    <w:name w:val="List Number"/>
    <w:basedOn w:val="List"/>
    <w:rsid w:val="00E364E5"/>
  </w:style>
  <w:style w:type="paragraph" w:styleId="List">
    <w:name w:val="List"/>
    <w:basedOn w:val="Normal"/>
    <w:rsid w:val="00E364E5"/>
    <w:pPr>
      <w:ind w:left="568" w:hanging="284"/>
    </w:pPr>
  </w:style>
  <w:style w:type="paragraph" w:styleId="Header">
    <w:name w:val="header"/>
    <w:rsid w:val="00E364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364E5"/>
    <w:rPr>
      <w:b/>
      <w:bCs/>
      <w:position w:val="6"/>
      <w:sz w:val="16"/>
      <w:szCs w:val="16"/>
    </w:rPr>
  </w:style>
  <w:style w:type="paragraph" w:styleId="FootnoteText">
    <w:name w:val="footnote text"/>
    <w:basedOn w:val="Normal"/>
    <w:semiHidden/>
    <w:rsid w:val="00E364E5"/>
    <w:pPr>
      <w:keepLines/>
      <w:spacing w:after="0"/>
      <w:ind w:left="454" w:hanging="454"/>
    </w:pPr>
    <w:rPr>
      <w:sz w:val="16"/>
      <w:szCs w:val="16"/>
    </w:rPr>
  </w:style>
  <w:style w:type="paragraph" w:customStyle="1" w:styleId="3GPPHeader">
    <w:name w:val="3GPP_Header"/>
    <w:basedOn w:val="Normal"/>
    <w:rsid w:val="00E364E5"/>
    <w:pPr>
      <w:tabs>
        <w:tab w:val="left" w:pos="1701"/>
        <w:tab w:val="right" w:pos="9639"/>
      </w:tabs>
      <w:spacing w:after="240"/>
    </w:pPr>
    <w:rPr>
      <w:b/>
      <w:sz w:val="24"/>
    </w:rPr>
  </w:style>
  <w:style w:type="paragraph" w:styleId="TOC9">
    <w:name w:val="toc 9"/>
    <w:basedOn w:val="TOC8"/>
    <w:semiHidden/>
    <w:rsid w:val="00E364E5"/>
    <w:pPr>
      <w:ind w:left="1418" w:hanging="1418"/>
    </w:pPr>
  </w:style>
  <w:style w:type="paragraph" w:styleId="TOC6">
    <w:name w:val="toc 6"/>
    <w:basedOn w:val="TOC5"/>
    <w:next w:val="Normal"/>
    <w:semiHidden/>
    <w:rsid w:val="00E364E5"/>
    <w:pPr>
      <w:ind w:left="1985" w:hanging="1985"/>
    </w:pPr>
  </w:style>
  <w:style w:type="paragraph" w:styleId="TOC7">
    <w:name w:val="toc 7"/>
    <w:basedOn w:val="TOC6"/>
    <w:next w:val="Normal"/>
    <w:semiHidden/>
    <w:rsid w:val="00E364E5"/>
    <w:pPr>
      <w:ind w:left="2268" w:hanging="2268"/>
    </w:pPr>
  </w:style>
  <w:style w:type="paragraph" w:styleId="ListBullet2">
    <w:name w:val="List Bullet 2"/>
    <w:basedOn w:val="ListBullet"/>
    <w:rsid w:val="00E364E5"/>
    <w:pPr>
      <w:numPr>
        <w:numId w:val="6"/>
      </w:numPr>
    </w:pPr>
  </w:style>
  <w:style w:type="paragraph" w:styleId="ListBullet">
    <w:name w:val="List Bullet"/>
    <w:basedOn w:val="BodyText"/>
    <w:rsid w:val="00E364E5"/>
    <w:pPr>
      <w:numPr>
        <w:numId w:val="5"/>
      </w:numPr>
    </w:pPr>
  </w:style>
  <w:style w:type="paragraph" w:styleId="ListBullet3">
    <w:name w:val="List Bullet 3"/>
    <w:basedOn w:val="ListBullet2"/>
    <w:rsid w:val="00E364E5"/>
    <w:pPr>
      <w:numPr>
        <w:numId w:val="7"/>
      </w:numPr>
    </w:pPr>
  </w:style>
  <w:style w:type="paragraph" w:customStyle="1" w:styleId="EQ">
    <w:name w:val="EQ"/>
    <w:basedOn w:val="Normal"/>
    <w:next w:val="Normal"/>
    <w:rsid w:val="00E364E5"/>
    <w:pPr>
      <w:keepLines/>
      <w:tabs>
        <w:tab w:val="center" w:pos="4536"/>
        <w:tab w:val="right" w:pos="9072"/>
      </w:tabs>
      <w:spacing w:after="180"/>
      <w:jc w:val="left"/>
    </w:pPr>
    <w:rPr>
      <w:noProof/>
      <w:lang w:eastAsia="en-US"/>
    </w:rPr>
  </w:style>
  <w:style w:type="paragraph" w:styleId="List2">
    <w:name w:val="List 2"/>
    <w:basedOn w:val="List"/>
    <w:rsid w:val="00E364E5"/>
    <w:pPr>
      <w:ind w:left="851"/>
    </w:pPr>
  </w:style>
  <w:style w:type="paragraph" w:styleId="List3">
    <w:name w:val="List 3"/>
    <w:basedOn w:val="List2"/>
    <w:rsid w:val="00E364E5"/>
    <w:pPr>
      <w:ind w:left="1135"/>
    </w:pPr>
  </w:style>
  <w:style w:type="paragraph" w:styleId="List4">
    <w:name w:val="List 4"/>
    <w:basedOn w:val="List3"/>
    <w:rsid w:val="00E364E5"/>
    <w:pPr>
      <w:ind w:left="1418"/>
    </w:pPr>
  </w:style>
  <w:style w:type="paragraph" w:styleId="List5">
    <w:name w:val="List 5"/>
    <w:basedOn w:val="List4"/>
    <w:rsid w:val="00E364E5"/>
    <w:pPr>
      <w:ind w:left="1702"/>
    </w:pPr>
  </w:style>
  <w:style w:type="paragraph" w:customStyle="1" w:styleId="EditorsNote">
    <w:name w:val="Editor's Note"/>
    <w:basedOn w:val="Normal"/>
    <w:rsid w:val="00E364E5"/>
    <w:pPr>
      <w:keepLines/>
      <w:spacing w:after="180"/>
      <w:ind w:left="1135" w:hanging="851"/>
      <w:jc w:val="left"/>
    </w:pPr>
    <w:rPr>
      <w:color w:val="FF0000"/>
      <w:lang w:eastAsia="en-US"/>
    </w:rPr>
  </w:style>
  <w:style w:type="paragraph" w:styleId="ListBullet4">
    <w:name w:val="List Bullet 4"/>
    <w:basedOn w:val="ListBullet3"/>
    <w:rsid w:val="00E364E5"/>
    <w:pPr>
      <w:numPr>
        <w:numId w:val="8"/>
      </w:numPr>
    </w:pPr>
  </w:style>
  <w:style w:type="paragraph" w:styleId="ListBullet5">
    <w:name w:val="List Bullet 5"/>
    <w:basedOn w:val="ListBullet4"/>
    <w:rsid w:val="00E364E5"/>
    <w:pPr>
      <w:numPr>
        <w:numId w:val="4"/>
      </w:numPr>
    </w:pPr>
  </w:style>
  <w:style w:type="paragraph" w:styleId="Footer">
    <w:name w:val="footer"/>
    <w:basedOn w:val="Header"/>
    <w:semiHidden/>
    <w:rsid w:val="00E364E5"/>
    <w:pPr>
      <w:jc w:val="center"/>
    </w:pPr>
    <w:rPr>
      <w:i/>
      <w:iCs/>
    </w:rPr>
  </w:style>
  <w:style w:type="paragraph" w:customStyle="1" w:styleId="Reference">
    <w:name w:val="Reference"/>
    <w:basedOn w:val="Normal"/>
    <w:rsid w:val="00E364E5"/>
    <w:pPr>
      <w:numPr>
        <w:numId w:val="2"/>
      </w:numPr>
    </w:pPr>
  </w:style>
  <w:style w:type="paragraph" w:styleId="BalloonText">
    <w:name w:val="Balloon Text"/>
    <w:basedOn w:val="Normal"/>
    <w:semiHidden/>
    <w:rsid w:val="00E364E5"/>
    <w:rPr>
      <w:rFonts w:ascii="Tahoma" w:hAnsi="Tahoma" w:cs="Tahoma"/>
      <w:sz w:val="16"/>
      <w:szCs w:val="16"/>
    </w:rPr>
  </w:style>
  <w:style w:type="character" w:styleId="PageNumber">
    <w:name w:val="page number"/>
    <w:basedOn w:val="DefaultParagraphFont"/>
    <w:semiHidden/>
    <w:rsid w:val="00E364E5"/>
  </w:style>
  <w:style w:type="paragraph" w:styleId="BodyText">
    <w:name w:val="Body Text"/>
    <w:basedOn w:val="Normal"/>
    <w:link w:val="BodyTextChar"/>
    <w:rsid w:val="00E364E5"/>
  </w:style>
  <w:style w:type="character" w:styleId="Hyperlink">
    <w:name w:val="Hyperlink"/>
    <w:uiPriority w:val="99"/>
    <w:rsid w:val="00E364E5"/>
    <w:rPr>
      <w:color w:val="0000FF"/>
      <w:u w:val="single"/>
      <w:lang w:val="en-GB"/>
    </w:rPr>
  </w:style>
  <w:style w:type="character" w:styleId="FollowedHyperlink">
    <w:name w:val="FollowedHyperlink"/>
    <w:semiHidden/>
    <w:rsid w:val="00E364E5"/>
    <w:rPr>
      <w:color w:val="FF0000"/>
      <w:u w:val="single"/>
    </w:rPr>
  </w:style>
  <w:style w:type="character" w:styleId="CommentReference">
    <w:name w:val="annotation reference"/>
    <w:semiHidden/>
    <w:rsid w:val="00E364E5"/>
    <w:rPr>
      <w:sz w:val="16"/>
      <w:szCs w:val="16"/>
    </w:rPr>
  </w:style>
  <w:style w:type="paragraph" w:styleId="CommentText">
    <w:name w:val="annotation text"/>
    <w:basedOn w:val="Normal"/>
    <w:semiHidden/>
    <w:rsid w:val="00E364E5"/>
  </w:style>
  <w:style w:type="paragraph" w:styleId="CommentSubject">
    <w:name w:val="annotation subject"/>
    <w:basedOn w:val="CommentText"/>
    <w:next w:val="CommentText"/>
    <w:semiHidden/>
    <w:rsid w:val="00E364E5"/>
    <w:rPr>
      <w:b/>
      <w:bCs/>
    </w:rPr>
  </w:style>
  <w:style w:type="character" w:customStyle="1" w:styleId="Heading1Char">
    <w:name w:val="Heading 1 Char"/>
    <w:link w:val="Heading1"/>
    <w:rsid w:val="00E364E5"/>
    <w:rPr>
      <w:rFonts w:ascii="Arial" w:hAnsi="Arial" w:cs="Arial"/>
      <w:sz w:val="36"/>
      <w:szCs w:val="36"/>
      <w:lang w:val="en-GB" w:eastAsia="zh-CN"/>
    </w:rPr>
  </w:style>
  <w:style w:type="paragraph" w:customStyle="1" w:styleId="B1">
    <w:name w:val="B1"/>
    <w:basedOn w:val="List"/>
    <w:rsid w:val="00E364E5"/>
    <w:pPr>
      <w:spacing w:after="180"/>
      <w:jc w:val="left"/>
    </w:pPr>
    <w:rPr>
      <w:lang w:eastAsia="en-US"/>
    </w:rPr>
  </w:style>
  <w:style w:type="paragraph" w:customStyle="1" w:styleId="B2">
    <w:name w:val="B2"/>
    <w:basedOn w:val="List2"/>
    <w:rsid w:val="00E364E5"/>
    <w:pPr>
      <w:spacing w:after="180"/>
      <w:jc w:val="left"/>
    </w:pPr>
    <w:rPr>
      <w:lang w:eastAsia="en-US"/>
    </w:rPr>
  </w:style>
  <w:style w:type="paragraph" w:customStyle="1" w:styleId="B3">
    <w:name w:val="B3"/>
    <w:basedOn w:val="List3"/>
    <w:rsid w:val="00E364E5"/>
    <w:pPr>
      <w:spacing w:after="180"/>
      <w:jc w:val="left"/>
    </w:pPr>
    <w:rPr>
      <w:lang w:eastAsia="en-US"/>
    </w:rPr>
  </w:style>
  <w:style w:type="paragraph" w:customStyle="1" w:styleId="B4">
    <w:name w:val="B4"/>
    <w:basedOn w:val="List4"/>
    <w:rsid w:val="00E364E5"/>
    <w:pPr>
      <w:spacing w:after="180"/>
      <w:jc w:val="left"/>
    </w:pPr>
    <w:rPr>
      <w:lang w:eastAsia="en-US"/>
    </w:rPr>
  </w:style>
  <w:style w:type="paragraph" w:customStyle="1" w:styleId="Proposal">
    <w:name w:val="Proposal"/>
    <w:basedOn w:val="Normal"/>
    <w:rsid w:val="00E364E5"/>
    <w:pPr>
      <w:numPr>
        <w:numId w:val="3"/>
      </w:numPr>
      <w:tabs>
        <w:tab w:val="clear" w:pos="1304"/>
        <w:tab w:val="left" w:pos="1701"/>
      </w:tabs>
      <w:ind w:left="1701" w:hanging="1701"/>
    </w:pPr>
    <w:rPr>
      <w:b/>
      <w:bCs/>
    </w:rPr>
  </w:style>
  <w:style w:type="character" w:customStyle="1" w:styleId="BodyTextChar">
    <w:name w:val="Body Text Char"/>
    <w:link w:val="BodyText"/>
    <w:rsid w:val="00E364E5"/>
    <w:rPr>
      <w:rFonts w:ascii="Arial" w:hAnsi="Arial"/>
      <w:lang w:val="en-GB" w:eastAsia="zh-CN"/>
    </w:rPr>
  </w:style>
  <w:style w:type="paragraph" w:customStyle="1" w:styleId="B5">
    <w:name w:val="B5"/>
    <w:basedOn w:val="List5"/>
    <w:rsid w:val="00E364E5"/>
    <w:pPr>
      <w:spacing w:after="180"/>
      <w:jc w:val="left"/>
    </w:pPr>
    <w:rPr>
      <w:lang w:eastAsia="en-US"/>
    </w:rPr>
  </w:style>
  <w:style w:type="paragraph" w:customStyle="1" w:styleId="EX">
    <w:name w:val="EX"/>
    <w:basedOn w:val="Normal"/>
    <w:rsid w:val="00E364E5"/>
    <w:pPr>
      <w:keepLines/>
      <w:spacing w:after="180"/>
      <w:ind w:left="1702" w:hanging="1418"/>
      <w:jc w:val="left"/>
    </w:pPr>
    <w:rPr>
      <w:lang w:eastAsia="en-US"/>
    </w:rPr>
  </w:style>
  <w:style w:type="paragraph" w:customStyle="1" w:styleId="EW">
    <w:name w:val="EW"/>
    <w:basedOn w:val="EX"/>
    <w:rsid w:val="00E364E5"/>
    <w:pPr>
      <w:spacing w:after="0"/>
    </w:pPr>
  </w:style>
  <w:style w:type="paragraph" w:customStyle="1" w:styleId="TAL">
    <w:name w:val="TAL"/>
    <w:basedOn w:val="Normal"/>
    <w:rsid w:val="00E364E5"/>
    <w:pPr>
      <w:keepNext/>
      <w:keepLines/>
      <w:spacing w:after="0"/>
      <w:jc w:val="left"/>
    </w:pPr>
    <w:rPr>
      <w:sz w:val="18"/>
      <w:lang w:eastAsia="en-US"/>
    </w:rPr>
  </w:style>
  <w:style w:type="paragraph" w:customStyle="1" w:styleId="TAC">
    <w:name w:val="TAC"/>
    <w:basedOn w:val="TAL"/>
    <w:rsid w:val="00E364E5"/>
    <w:pPr>
      <w:jc w:val="center"/>
    </w:pPr>
  </w:style>
  <w:style w:type="paragraph" w:customStyle="1" w:styleId="TAH">
    <w:name w:val="TAH"/>
    <w:basedOn w:val="TAC"/>
    <w:rsid w:val="00E364E5"/>
    <w:rPr>
      <w:b/>
    </w:rPr>
  </w:style>
  <w:style w:type="paragraph" w:customStyle="1" w:styleId="TAN">
    <w:name w:val="TAN"/>
    <w:basedOn w:val="TAL"/>
    <w:rsid w:val="00E364E5"/>
    <w:pPr>
      <w:ind w:left="851" w:hanging="851"/>
    </w:pPr>
  </w:style>
  <w:style w:type="paragraph" w:customStyle="1" w:styleId="TAR">
    <w:name w:val="TAR"/>
    <w:basedOn w:val="TAL"/>
    <w:rsid w:val="00E364E5"/>
    <w:pPr>
      <w:jc w:val="right"/>
    </w:pPr>
  </w:style>
  <w:style w:type="paragraph" w:customStyle="1" w:styleId="TH">
    <w:name w:val="TH"/>
    <w:basedOn w:val="Normal"/>
    <w:rsid w:val="00E364E5"/>
    <w:pPr>
      <w:keepNext/>
      <w:keepLines/>
      <w:spacing w:before="60" w:after="180"/>
      <w:jc w:val="center"/>
    </w:pPr>
    <w:rPr>
      <w:b/>
      <w:lang w:eastAsia="en-US"/>
    </w:rPr>
  </w:style>
  <w:style w:type="paragraph" w:customStyle="1" w:styleId="TF">
    <w:name w:val="TF"/>
    <w:basedOn w:val="TH"/>
    <w:rsid w:val="00E364E5"/>
    <w:pPr>
      <w:keepNext w:val="0"/>
      <w:spacing w:before="0" w:after="240"/>
    </w:pPr>
  </w:style>
  <w:style w:type="paragraph" w:customStyle="1" w:styleId="TT">
    <w:name w:val="TT"/>
    <w:basedOn w:val="Heading1"/>
    <w:next w:val="Normal"/>
    <w:rsid w:val="00E364E5"/>
    <w:pPr>
      <w:numPr>
        <w:numId w:val="0"/>
      </w:numPr>
      <w:ind w:left="1134" w:hanging="1134"/>
      <w:outlineLvl w:val="9"/>
    </w:pPr>
    <w:rPr>
      <w:rFonts w:cs="Times New Roman"/>
      <w:szCs w:val="20"/>
      <w:lang w:eastAsia="en-US"/>
    </w:rPr>
  </w:style>
  <w:style w:type="paragraph" w:customStyle="1" w:styleId="ZA">
    <w:name w:val="ZA"/>
    <w:rsid w:val="00E36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6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6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36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364E5"/>
  </w:style>
  <w:style w:type="paragraph" w:customStyle="1" w:styleId="ZH">
    <w:name w:val="ZH"/>
    <w:rsid w:val="00E36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36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364E5"/>
    <w:pPr>
      <w:framePr w:hRule="auto" w:wrap="notBeside" w:y="852"/>
    </w:pPr>
    <w:rPr>
      <w:i w:val="0"/>
      <w:sz w:val="40"/>
    </w:rPr>
  </w:style>
  <w:style w:type="paragraph" w:customStyle="1" w:styleId="ZU">
    <w:name w:val="ZU"/>
    <w:rsid w:val="00E36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64E5"/>
    <w:pPr>
      <w:framePr w:wrap="notBeside" w:y="16161"/>
    </w:pPr>
  </w:style>
  <w:style w:type="paragraph" w:customStyle="1" w:styleId="FP">
    <w:name w:val="FP"/>
    <w:basedOn w:val="Normal"/>
    <w:rsid w:val="00E364E5"/>
    <w:pPr>
      <w:spacing w:after="0"/>
      <w:jc w:val="left"/>
    </w:pPr>
    <w:rPr>
      <w:lang w:eastAsia="en-US"/>
    </w:rPr>
  </w:style>
  <w:style w:type="paragraph" w:customStyle="1" w:styleId="Observation">
    <w:name w:val="Observation"/>
    <w:basedOn w:val="Proposal"/>
    <w:qFormat/>
    <w:rsid w:val="00E364E5"/>
    <w:pPr>
      <w:numPr>
        <w:numId w:val="13"/>
      </w:numPr>
      <w:ind w:left="1701" w:hanging="1701"/>
    </w:pPr>
  </w:style>
  <w:style w:type="paragraph" w:styleId="TableofFigures">
    <w:name w:val="table of figures"/>
    <w:basedOn w:val="Normal"/>
    <w:next w:val="Normal"/>
    <w:uiPriority w:val="99"/>
    <w:rsid w:val="00E364E5"/>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basedOn w:val="Normal"/>
    <w:uiPriority w:val="34"/>
    <w:qFormat/>
    <w:rsid w:val="00677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7844">
      <w:bodyDiv w:val="1"/>
      <w:marLeft w:val="0"/>
      <w:marRight w:val="0"/>
      <w:marTop w:val="0"/>
      <w:marBottom w:val="0"/>
      <w:divBdr>
        <w:top w:val="none" w:sz="0" w:space="0" w:color="auto"/>
        <w:left w:val="none" w:sz="0" w:space="0" w:color="auto"/>
        <w:bottom w:val="none" w:sz="0" w:space="0" w:color="auto"/>
        <w:right w:val="none" w:sz="0" w:space="0" w:color="auto"/>
      </w:divBdr>
    </w:div>
    <w:div w:id="156351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yperlink" Target="http://www.3gpp.org/ftp/tsg_ran/WG1_RL1/TSGR1_93/Docs/R1-1807607.zip" TargetMode="External"/><Relationship Id="rId26" Type="http://schemas.openxmlformats.org/officeDocument/2006/relationships/hyperlink" Target="http://www.3gpp.org/ftp/tsg_ran/WG1_RL1/TSGR1_93/Docs/R1-1807009.zip" TargetMode="External"/><Relationship Id="rId3" Type="http://schemas.openxmlformats.org/officeDocument/2006/relationships/styles" Target="styles.xml"/><Relationship Id="rId21" Type="http://schemas.openxmlformats.org/officeDocument/2006/relationships/hyperlink" Target="http://www.3gpp.org/ftp/tsg_ran/WG1_RL1/TSGR1_93/Docs/R1-1806347.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http://www.3gpp.org/ftp/tsg_ran/WG1_RL1/TSGR1_93/Docs/R1-1806873.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hyperlink" Target="http://www.3gpp.org/ftp/tsg_ran/WG1_RL1/TSGR1_93/Docs/R1-1805942.zip" TargetMode="External"/><Relationship Id="rId29" Type="http://schemas.openxmlformats.org/officeDocument/2006/relationships/hyperlink" Target="http://www.3gpp.org/ftp/tsg_ran/WG1_RL1/TSGR1_93/Docs/R1-18073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3gpp.org/ftp/tsg_ran/WG1_RL1/TSGR1_93/Docs/R1-1806700.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yperlink" Target="http://www.3gpp.org/ftp/tsg_ran/WG1_RL1/TSGR1_93/Docs/R1-1806601.zip" TargetMode="External"/><Relationship Id="rId28" Type="http://schemas.openxmlformats.org/officeDocument/2006/relationships/hyperlink" Target="http://www.3gpp.org/ftp/tsg_ran/WG1_RL1/TSGR1_93/Docs/R1-1807171.zip" TargetMode="External"/><Relationship Id="rId10" Type="http://schemas.openxmlformats.org/officeDocument/2006/relationships/image" Target="media/image3.wmf"/><Relationship Id="rId19" Type="http://schemas.openxmlformats.org/officeDocument/2006/relationships/hyperlink" Target="http://www.3gpp.org/ftp/tsg_ran/WG1_RL1/TSGR1_93/Docs/R1-1805872.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yperlink" Target="http://www.3gpp.org/ftp/tsg_ran/WG1_RL1/TSGR1_93/Docs/R1-1806420.zip" TargetMode="External"/><Relationship Id="rId27" Type="http://schemas.openxmlformats.org/officeDocument/2006/relationships/hyperlink" Target="http://www.3gpp.org/ftp/tsg_ran/WG1_RL1/TSGR1_93/Docs/R1-1807050.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931E4-D112-44C4-9CB0-82F53EFD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125</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Introduction </vt:lpstr>
      <vt:lpstr>Time alignment in TDD</vt:lpstr>
      <vt:lpstr>Fraudulent use of valid SS/PBCH block indication</vt:lpstr>
      <vt:lpstr>QCL</vt:lpstr>
      <vt:lpstr>Other</vt:lpstr>
      <vt:lpstr>    MIB extension</vt:lpstr>
      <vt:lpstr>    RMSI CORESET Configuration with minimum bandwidth 10MHz</vt:lpstr>
      <vt:lpstr>    Closest Second SS/PBCH Block</vt:lpstr>
      <vt:lpstr>Appendix: Contributions used as basis for the summary</vt:lpstr>
    </vt:vector>
  </TitlesOfParts>
  <Company>Ericsson</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45</cp:revision>
  <cp:lastPrinted>2008-01-31T07:09:00Z</cp:lastPrinted>
  <dcterms:created xsi:type="dcterms:W3CDTF">2018-05-17T20:49:00Z</dcterms:created>
  <dcterms:modified xsi:type="dcterms:W3CDTF">2018-05-24T01:27:00Z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